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A51E" w14:textId="11CB1D06" w:rsidR="005A6A79" w:rsidRPr="008D2360" w:rsidRDefault="00350F21">
      <w:pPr>
        <w:rPr>
          <w:b/>
          <w:bCs/>
        </w:rPr>
      </w:pPr>
      <w:r w:rsidRPr="008D2360">
        <w:rPr>
          <w:b/>
          <w:bCs/>
        </w:rPr>
        <w:t xml:space="preserve">Title: </w:t>
      </w:r>
    </w:p>
    <w:p w14:paraId="2B894B4C" w14:textId="77777777" w:rsidR="00E01C24" w:rsidRDefault="00E01C24" w:rsidP="00E01C24">
      <w:r>
        <w:t xml:space="preserve">Valuation in Bankruptcy. Examining Valuation Methods, Evidentiary Requirements and Other Considerations for Both Debtors and Creditors in Bankruptcy. </w:t>
      </w:r>
    </w:p>
    <w:p w14:paraId="0467506E" w14:textId="535DCD3E" w:rsidR="00350F21" w:rsidRPr="008D2360" w:rsidRDefault="00350F21">
      <w:pPr>
        <w:rPr>
          <w:b/>
          <w:bCs/>
        </w:rPr>
      </w:pPr>
      <w:r w:rsidRPr="008D2360">
        <w:rPr>
          <w:b/>
          <w:bCs/>
        </w:rPr>
        <w:t>Program Description:</w:t>
      </w:r>
    </w:p>
    <w:p w14:paraId="4ADD94CC" w14:textId="77777777" w:rsidR="00DD3766" w:rsidRDefault="00DD3766" w:rsidP="00DD3766">
      <w:pPr>
        <w:jc w:val="both"/>
      </w:pPr>
      <w:r>
        <w:t xml:space="preserve">The panelists will discuss handling valuation disputes from both the debtor’s and creditor’s perspective and provide tips for preparing for evidentiary hearings and expert witness testimony, as well as prehearing discovery and negotiations.  The panelists will also delve into the different valuation methods and relevant dates for assessment. The panel will further discuss recent case law addressing valuation disputes, including with respect to cryptocurrency and intellectual property.  </w:t>
      </w:r>
    </w:p>
    <w:p w14:paraId="66E11D7F" w14:textId="4D1A5E1A" w:rsidR="00350F21" w:rsidRPr="008D2360" w:rsidRDefault="00350F21">
      <w:pPr>
        <w:rPr>
          <w:b/>
          <w:bCs/>
        </w:rPr>
      </w:pPr>
      <w:r w:rsidRPr="008D2360">
        <w:rPr>
          <w:b/>
          <w:bCs/>
        </w:rPr>
        <w:t>Panelists:</w:t>
      </w:r>
    </w:p>
    <w:p w14:paraId="71A7C65C" w14:textId="1C7D3078" w:rsidR="00E01C24" w:rsidRDefault="00E01C24" w:rsidP="00E01C24">
      <w:r>
        <w:t>Kirk B. Burkley, Bernstein-Burkley, PC, Pittsburgh, PA</w:t>
      </w:r>
    </w:p>
    <w:p w14:paraId="7B26BFF9" w14:textId="7F94A517" w:rsidR="00E01C24" w:rsidRDefault="00E01C24" w:rsidP="00E01C24">
      <w:r>
        <w:t>Peter M. Gannott, Gannott Law Group, PLLC, Louisville, KY</w:t>
      </w:r>
    </w:p>
    <w:p w14:paraId="204917E1" w14:textId="406AA9B2" w:rsidR="00E01C24" w:rsidRDefault="00E01C24" w:rsidP="00E01C24">
      <w:r w:rsidRPr="00E01C24">
        <w:t>Randall Woolley, Darcy &amp; Devassy PC, Chicago, IL</w:t>
      </w:r>
    </w:p>
    <w:p w14:paraId="28A9AF24" w14:textId="77777777" w:rsidR="00231C11" w:rsidRDefault="00231C11" w:rsidP="00E01C24"/>
    <w:p w14:paraId="6644A626" w14:textId="3BF39258" w:rsidR="00231C11" w:rsidRPr="003C2B4D" w:rsidRDefault="003C2B4D" w:rsidP="00E01C24">
      <w:pPr>
        <w:rPr>
          <w:b/>
          <w:bCs/>
        </w:rPr>
      </w:pPr>
      <w:r w:rsidRPr="003C2B4D">
        <w:rPr>
          <w:b/>
          <w:bCs/>
        </w:rPr>
        <w:t>More…</w:t>
      </w:r>
    </w:p>
    <w:p w14:paraId="0B6D61C4" w14:textId="77777777" w:rsidR="00231C11" w:rsidRDefault="00231C11" w:rsidP="00E01C24"/>
    <w:p w14:paraId="525D365B" w14:textId="77777777" w:rsidR="008D2360" w:rsidRDefault="008D2360" w:rsidP="00E01C24"/>
    <w:p w14:paraId="2B1DDA61" w14:textId="77777777" w:rsidR="008D2360" w:rsidRDefault="008D2360" w:rsidP="00E01C24"/>
    <w:p w14:paraId="0D620599" w14:textId="77777777" w:rsidR="008D2360" w:rsidRDefault="008D2360" w:rsidP="00E01C24"/>
    <w:p w14:paraId="5D5F262B" w14:textId="77777777" w:rsidR="008D2360" w:rsidRDefault="008D2360" w:rsidP="00E01C24"/>
    <w:p w14:paraId="3A63EEBE" w14:textId="77777777" w:rsidR="008D2360" w:rsidRDefault="008D2360" w:rsidP="00E01C24"/>
    <w:p w14:paraId="4B29E7BC" w14:textId="77777777" w:rsidR="008D2360" w:rsidRDefault="008D2360" w:rsidP="00E01C24"/>
    <w:p w14:paraId="5CD8972D" w14:textId="77777777" w:rsidR="008D2360" w:rsidRDefault="008D2360" w:rsidP="00E01C24"/>
    <w:p w14:paraId="55145304" w14:textId="77777777" w:rsidR="008D2360" w:rsidRDefault="008D2360" w:rsidP="00E01C24"/>
    <w:p w14:paraId="2A9671EB" w14:textId="77777777" w:rsidR="008D2360" w:rsidRDefault="008D2360" w:rsidP="00E01C24"/>
    <w:p w14:paraId="6BE52E95" w14:textId="77777777" w:rsidR="008D2360" w:rsidRDefault="008D2360" w:rsidP="00E01C24"/>
    <w:p w14:paraId="713731A8" w14:textId="77777777" w:rsidR="008D2360" w:rsidRDefault="008D2360" w:rsidP="00E01C24"/>
    <w:p w14:paraId="554FBFAD" w14:textId="77777777" w:rsidR="008D2360" w:rsidRDefault="008D2360" w:rsidP="00E01C24"/>
    <w:p w14:paraId="1A856578" w14:textId="77777777" w:rsidR="008D2360" w:rsidRDefault="008D2360" w:rsidP="00E01C24"/>
    <w:p w14:paraId="4F57A65E" w14:textId="77777777" w:rsidR="00231C11" w:rsidRDefault="00231C11" w:rsidP="00E01C24"/>
    <w:p w14:paraId="21B5D522" w14:textId="7E4C4749" w:rsidR="00916BD4" w:rsidRPr="007C3725" w:rsidRDefault="00916BD4" w:rsidP="008D2360">
      <w:pPr>
        <w:spacing w:after="0" w:line="480" w:lineRule="auto"/>
        <w:rPr>
          <w:rFonts w:cstheme="minorHAnsi"/>
        </w:rPr>
      </w:pPr>
      <w:r w:rsidRPr="007C3725">
        <w:rPr>
          <w:rFonts w:cstheme="minorHAnsi"/>
        </w:rPr>
        <w:lastRenderedPageBreak/>
        <w:t>Outline:</w:t>
      </w:r>
    </w:p>
    <w:p w14:paraId="36050825" w14:textId="723CD544" w:rsidR="00916BD4" w:rsidRPr="008D2360" w:rsidRDefault="00916BD4" w:rsidP="008D2360">
      <w:pPr>
        <w:pStyle w:val="ListParagraph"/>
        <w:numPr>
          <w:ilvl w:val="0"/>
          <w:numId w:val="2"/>
        </w:numPr>
        <w:spacing w:after="0" w:line="480" w:lineRule="auto"/>
        <w:rPr>
          <w:rFonts w:cstheme="minorHAnsi"/>
          <w:b/>
          <w:bCs/>
        </w:rPr>
      </w:pPr>
      <w:r w:rsidRPr="008D2360">
        <w:rPr>
          <w:rFonts w:cstheme="minorHAnsi"/>
          <w:b/>
          <w:bCs/>
        </w:rPr>
        <w:t>Purposes of Valuation</w:t>
      </w:r>
    </w:p>
    <w:p w14:paraId="2663E7EE" w14:textId="77777777" w:rsidR="00326D14" w:rsidRPr="007C3725" w:rsidRDefault="00326D14" w:rsidP="008D2360">
      <w:pPr>
        <w:shd w:val="clear" w:color="auto" w:fill="FFFFFF"/>
        <w:spacing w:after="0" w:line="480" w:lineRule="auto"/>
        <w:ind w:firstLine="720"/>
        <w:rPr>
          <w:rFonts w:eastAsia="Times New Roman" w:cstheme="minorHAnsi"/>
          <w:color w:val="000000"/>
        </w:rPr>
      </w:pPr>
      <w:r w:rsidRPr="007C3725">
        <w:rPr>
          <w:rFonts w:eastAsia="Times New Roman" w:cstheme="minorHAnsi"/>
          <w:color w:val="000000"/>
        </w:rPr>
        <w:t>1.</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Section 506(a): Valuation of Secured Collateral</w:t>
      </w:r>
    </w:p>
    <w:p w14:paraId="61C5517A" w14:textId="77777777" w:rsidR="00326D14" w:rsidRPr="007C3725" w:rsidRDefault="00326D14" w:rsidP="008D2360">
      <w:pPr>
        <w:spacing w:after="0" w:line="480" w:lineRule="auto"/>
        <w:jc w:val="both"/>
        <w:rPr>
          <w:rFonts w:eastAsia="Times New Roman" w:cstheme="minorHAnsi"/>
          <w:color w:val="000000"/>
        </w:rPr>
      </w:pP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2.</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Section 362 (d)(1) &amp; (2): Relief of The Automatic Stay Valuations</w:t>
      </w:r>
    </w:p>
    <w:p w14:paraId="69D3A21D" w14:textId="77777777" w:rsidR="00326D14" w:rsidRPr="007C3725" w:rsidRDefault="00326D14" w:rsidP="008D2360">
      <w:pPr>
        <w:spacing w:after="0" w:line="480" w:lineRule="auto"/>
        <w:ind w:firstLine="720"/>
        <w:jc w:val="both"/>
        <w:rPr>
          <w:rFonts w:eastAsia="Times New Roman" w:cstheme="minorHAnsi"/>
          <w:color w:val="000000"/>
        </w:rPr>
      </w:pP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a.</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Section 362(d)(1):  Lack of “Adequate Protection”</w:t>
      </w:r>
    </w:p>
    <w:p w14:paraId="76FF28D8" w14:textId="77777777" w:rsidR="00326D14" w:rsidRPr="007C3725" w:rsidRDefault="00326D14" w:rsidP="008D2360">
      <w:pPr>
        <w:spacing w:after="0" w:line="480" w:lineRule="auto"/>
        <w:ind w:firstLine="720"/>
        <w:jc w:val="both"/>
        <w:rPr>
          <w:rFonts w:eastAsia="Times New Roman" w:cstheme="minorHAnsi"/>
          <w:color w:val="000000"/>
        </w:rPr>
      </w:pP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b.</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Section 362(d)(2):  Lack of “Equity” in the Property</w:t>
      </w:r>
    </w:p>
    <w:p w14:paraId="35CEDF67" w14:textId="77777777" w:rsidR="00326D14" w:rsidRPr="007C3725" w:rsidRDefault="00326D14" w:rsidP="008D2360">
      <w:pPr>
        <w:spacing w:after="0" w:line="480" w:lineRule="auto"/>
        <w:jc w:val="both"/>
        <w:rPr>
          <w:rFonts w:eastAsia="Times New Roman" w:cstheme="minorHAnsi"/>
          <w:color w:val="000000"/>
        </w:rPr>
      </w:pP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3.</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Section 363: Use of “Cash Collateral” Valuations</w:t>
      </w:r>
    </w:p>
    <w:p w14:paraId="5C5D52D9" w14:textId="77777777" w:rsidR="00326D14" w:rsidRPr="007C3725" w:rsidRDefault="00326D14" w:rsidP="008D2360">
      <w:pPr>
        <w:spacing w:after="0" w:line="480" w:lineRule="auto"/>
        <w:jc w:val="both"/>
        <w:rPr>
          <w:rFonts w:eastAsia="Times New Roman" w:cstheme="minorHAnsi"/>
          <w:color w:val="000000"/>
        </w:rPr>
      </w:pP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4.</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Section 364: DIP Financing Valuations</w:t>
      </w:r>
    </w:p>
    <w:p w14:paraId="03404646" w14:textId="77777777" w:rsidR="00326D14" w:rsidRPr="007C3725" w:rsidRDefault="00326D14" w:rsidP="008D2360">
      <w:pPr>
        <w:spacing w:after="0" w:line="480" w:lineRule="auto"/>
        <w:jc w:val="both"/>
        <w:rPr>
          <w:rFonts w:eastAsia="Times New Roman" w:cstheme="minorHAnsi"/>
          <w:color w:val="000000"/>
        </w:rPr>
      </w:pP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5.</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Section 547, 548 &amp; 550: Recovery Action Valuations</w:t>
      </w:r>
    </w:p>
    <w:p w14:paraId="53D48D12" w14:textId="77777777" w:rsidR="00326D14" w:rsidRPr="007C3725" w:rsidRDefault="00326D14" w:rsidP="008D2360">
      <w:pPr>
        <w:spacing w:after="0" w:line="480" w:lineRule="auto"/>
        <w:jc w:val="both"/>
        <w:rPr>
          <w:rFonts w:eastAsia="Times New Roman" w:cstheme="minorHAnsi"/>
          <w:color w:val="000000"/>
        </w:rPr>
      </w:pP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6.</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Section 1129: Plan Confirmation Valuations</w:t>
      </w:r>
    </w:p>
    <w:p w14:paraId="1C34DABD" w14:textId="77777777" w:rsidR="00326D14" w:rsidRDefault="00326D14" w:rsidP="008D2360">
      <w:pPr>
        <w:spacing w:after="0" w:line="480" w:lineRule="auto"/>
        <w:jc w:val="both"/>
        <w:rPr>
          <w:rFonts w:eastAsia="Times New Roman" w:cstheme="minorHAnsi"/>
          <w:color w:val="000000"/>
        </w:rPr>
      </w:pP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7.</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 </w:t>
      </w:r>
      <w:r w:rsidRPr="007C3725">
        <w:rPr>
          <w:rFonts w:eastAsia="Times New Roman" w:cstheme="minorHAnsi"/>
          <w:color w:val="000000"/>
        </w:rPr>
        <w:t>Section 506(b): Post-Petition Interest &amp; Fees Valuations</w:t>
      </w:r>
    </w:p>
    <w:p w14:paraId="4F777B9B" w14:textId="1F8D87D3" w:rsidR="00574BDA" w:rsidRPr="008D2360" w:rsidRDefault="008D2360" w:rsidP="008D2360">
      <w:pPr>
        <w:spacing w:after="0" w:line="480" w:lineRule="auto"/>
        <w:jc w:val="both"/>
        <w:rPr>
          <w:rFonts w:eastAsia="Times New Roman" w:cstheme="minorHAnsi"/>
          <w:color w:val="000000"/>
        </w:rPr>
      </w:pPr>
      <w:r>
        <w:rPr>
          <w:rFonts w:eastAsia="Times New Roman" w:cstheme="minorHAnsi"/>
          <w:color w:val="000000"/>
        </w:rPr>
        <w:t xml:space="preserve">             8.        Section 1111(b) Elections</w:t>
      </w:r>
      <w:r>
        <w:rPr>
          <w:rFonts w:eastAsia="Times New Roman" w:cstheme="minorHAnsi"/>
          <w:color w:val="000000"/>
        </w:rPr>
        <w:tab/>
      </w:r>
    </w:p>
    <w:p w14:paraId="0E269E5D" w14:textId="26E6A2DD" w:rsidR="008D2360" w:rsidRPr="008D2360" w:rsidRDefault="00F34898" w:rsidP="008D2360">
      <w:pPr>
        <w:pStyle w:val="ListParagraph"/>
        <w:numPr>
          <w:ilvl w:val="0"/>
          <w:numId w:val="2"/>
        </w:numPr>
        <w:spacing w:after="0" w:line="480" w:lineRule="auto"/>
        <w:rPr>
          <w:b/>
          <w:bCs/>
        </w:rPr>
      </w:pPr>
      <w:r w:rsidRPr="008D2360">
        <w:rPr>
          <w:b/>
          <w:bCs/>
        </w:rPr>
        <w:t>Various Methods of Valuation</w:t>
      </w:r>
    </w:p>
    <w:p w14:paraId="31484997" w14:textId="3DE2C5C7" w:rsidR="00F34898" w:rsidRDefault="00F34898" w:rsidP="008D2360">
      <w:pPr>
        <w:pStyle w:val="ListParagraph"/>
        <w:numPr>
          <w:ilvl w:val="0"/>
          <w:numId w:val="4"/>
        </w:numPr>
        <w:spacing w:after="0" w:line="480" w:lineRule="auto"/>
        <w:ind w:left="0" w:firstLine="720"/>
      </w:pPr>
      <w:r>
        <w:t>Different approaches based on debtor’s use</w:t>
      </w:r>
    </w:p>
    <w:p w14:paraId="6BB0A419" w14:textId="7D98DD8F" w:rsidR="008D2360" w:rsidRDefault="008D2360" w:rsidP="008D2360">
      <w:pPr>
        <w:pStyle w:val="ListParagraph"/>
        <w:numPr>
          <w:ilvl w:val="0"/>
          <w:numId w:val="4"/>
        </w:numPr>
        <w:spacing w:after="0" w:line="480" w:lineRule="auto"/>
        <w:ind w:left="0" w:firstLine="720"/>
      </w:pPr>
      <w:r w:rsidRPr="008D2360">
        <w:t>Appropriate date for valuation</w:t>
      </w:r>
    </w:p>
    <w:p w14:paraId="53B3D7DA" w14:textId="4CA2D3C3" w:rsidR="00A3761D" w:rsidRDefault="00A3761D" w:rsidP="008D2360">
      <w:pPr>
        <w:pStyle w:val="ListParagraph"/>
        <w:numPr>
          <w:ilvl w:val="0"/>
          <w:numId w:val="4"/>
        </w:numPr>
        <w:spacing w:after="0" w:line="480" w:lineRule="auto"/>
        <w:ind w:left="0" w:firstLine="720"/>
      </w:pPr>
      <w:r>
        <w:t>Fair market value</w:t>
      </w:r>
    </w:p>
    <w:p w14:paraId="08B40320" w14:textId="0D189E61" w:rsidR="00A3761D" w:rsidRDefault="00A3761D" w:rsidP="008D2360">
      <w:pPr>
        <w:pStyle w:val="ListParagraph"/>
        <w:numPr>
          <w:ilvl w:val="0"/>
          <w:numId w:val="4"/>
        </w:numPr>
        <w:spacing w:after="0" w:line="480" w:lineRule="auto"/>
        <w:ind w:left="0" w:firstLine="720"/>
      </w:pPr>
      <w:r>
        <w:t>Liquidation value</w:t>
      </w:r>
    </w:p>
    <w:p w14:paraId="410648C0" w14:textId="33895B52" w:rsidR="00A3761D" w:rsidRDefault="00A3761D" w:rsidP="008D2360">
      <w:pPr>
        <w:pStyle w:val="ListParagraph"/>
        <w:numPr>
          <w:ilvl w:val="0"/>
          <w:numId w:val="4"/>
        </w:numPr>
        <w:spacing w:after="0" w:line="480" w:lineRule="auto"/>
        <w:ind w:left="0" w:firstLine="720"/>
      </w:pPr>
      <w:r>
        <w:t>Factors in deciding valuation method</w:t>
      </w:r>
    </w:p>
    <w:p w14:paraId="6E286423" w14:textId="2EF30B06" w:rsidR="008D2360" w:rsidRDefault="00A3761D" w:rsidP="008D2360">
      <w:pPr>
        <w:pStyle w:val="ListParagraph"/>
        <w:numPr>
          <w:ilvl w:val="0"/>
          <w:numId w:val="4"/>
        </w:numPr>
        <w:spacing w:after="0" w:line="480" w:lineRule="auto"/>
        <w:ind w:left="0" w:firstLine="720"/>
      </w:pPr>
      <w:r>
        <w:t>Appropriate interest rates for plan treatment</w:t>
      </w:r>
    </w:p>
    <w:p w14:paraId="3C8E2027" w14:textId="575A70D6" w:rsidR="00F34898" w:rsidRPr="008D2360" w:rsidRDefault="00F34898" w:rsidP="008D2360">
      <w:pPr>
        <w:pStyle w:val="ListParagraph"/>
        <w:numPr>
          <w:ilvl w:val="0"/>
          <w:numId w:val="2"/>
        </w:numPr>
        <w:spacing w:after="0" w:line="480" w:lineRule="auto"/>
        <w:rPr>
          <w:b/>
          <w:bCs/>
        </w:rPr>
      </w:pPr>
      <w:r w:rsidRPr="008D2360">
        <w:rPr>
          <w:b/>
          <w:bCs/>
        </w:rPr>
        <w:t>Experts</w:t>
      </w:r>
    </w:p>
    <w:p w14:paraId="7B1AF840" w14:textId="19F9BAF4" w:rsidR="00F34898" w:rsidRDefault="00F34898" w:rsidP="008D2360">
      <w:pPr>
        <w:pStyle w:val="ListParagraph"/>
        <w:numPr>
          <w:ilvl w:val="0"/>
          <w:numId w:val="5"/>
        </w:numPr>
        <w:spacing w:after="0" w:line="480" w:lineRule="auto"/>
      </w:pPr>
      <w:r>
        <w:t>Choosing the right expert</w:t>
      </w:r>
    </w:p>
    <w:p w14:paraId="57BB9451" w14:textId="7DF401A9" w:rsidR="00F34898" w:rsidRDefault="00F34898" w:rsidP="008D2360">
      <w:pPr>
        <w:pStyle w:val="ListParagraph"/>
        <w:numPr>
          <w:ilvl w:val="0"/>
          <w:numId w:val="5"/>
        </w:numPr>
        <w:spacing w:after="0" w:line="480" w:lineRule="auto"/>
      </w:pPr>
      <w:r>
        <w:t>Qualifying experts</w:t>
      </w:r>
    </w:p>
    <w:p w14:paraId="72AAB8C5" w14:textId="1B4AD236" w:rsidR="00F34898" w:rsidRDefault="00F34898" w:rsidP="008D2360">
      <w:pPr>
        <w:pStyle w:val="ListParagraph"/>
        <w:numPr>
          <w:ilvl w:val="0"/>
          <w:numId w:val="5"/>
        </w:numPr>
        <w:spacing w:after="0" w:line="480" w:lineRule="auto"/>
      </w:pPr>
      <w:r>
        <w:t>Using client as expert</w:t>
      </w:r>
    </w:p>
    <w:p w14:paraId="0FC2DC94" w14:textId="18D7A977" w:rsidR="00F34898" w:rsidRDefault="00F34898" w:rsidP="008D2360">
      <w:pPr>
        <w:pStyle w:val="ListParagraph"/>
        <w:numPr>
          <w:ilvl w:val="0"/>
          <w:numId w:val="5"/>
        </w:numPr>
        <w:spacing w:after="0" w:line="480" w:lineRule="auto"/>
      </w:pPr>
      <w:r>
        <w:t xml:space="preserve">Cost effective </w:t>
      </w:r>
      <w:r w:rsidR="00A3761D">
        <w:t xml:space="preserve">approaches to hiring </w:t>
      </w:r>
      <w:r>
        <w:t>expert</w:t>
      </w:r>
      <w:r w:rsidR="00A3761D">
        <w:t>s</w:t>
      </w:r>
    </w:p>
    <w:p w14:paraId="0C65A3EA" w14:textId="4FD83741" w:rsidR="00DD3766" w:rsidRDefault="00DD3766" w:rsidP="008D2360">
      <w:pPr>
        <w:pStyle w:val="ListParagraph"/>
        <w:numPr>
          <w:ilvl w:val="0"/>
          <w:numId w:val="5"/>
        </w:numPr>
        <w:spacing w:after="0" w:line="480" w:lineRule="auto"/>
      </w:pPr>
      <w:r>
        <w:lastRenderedPageBreak/>
        <w:t>Expert reports</w:t>
      </w:r>
    </w:p>
    <w:p w14:paraId="69754502" w14:textId="7A3FED85" w:rsidR="00A3761D" w:rsidRPr="008D2360" w:rsidRDefault="00A3761D" w:rsidP="008D2360">
      <w:pPr>
        <w:pStyle w:val="ListParagraph"/>
        <w:numPr>
          <w:ilvl w:val="0"/>
          <w:numId w:val="2"/>
        </w:numPr>
        <w:spacing w:after="0" w:line="480" w:lineRule="auto"/>
        <w:rPr>
          <w:b/>
          <w:bCs/>
        </w:rPr>
      </w:pPr>
      <w:r w:rsidRPr="008D2360">
        <w:rPr>
          <w:b/>
          <w:bCs/>
        </w:rPr>
        <w:t>Evidentiary Hearings</w:t>
      </w:r>
    </w:p>
    <w:p w14:paraId="5878E360" w14:textId="2EA61C3F" w:rsidR="00A3761D" w:rsidRDefault="00D5515F" w:rsidP="008D2360">
      <w:pPr>
        <w:pStyle w:val="ListParagraph"/>
        <w:numPr>
          <w:ilvl w:val="0"/>
          <w:numId w:val="7"/>
        </w:numPr>
        <w:spacing w:after="0" w:line="480" w:lineRule="auto"/>
      </w:pPr>
      <w:r>
        <w:t>Rule 2004</w:t>
      </w:r>
      <w:r w:rsidR="00A3761D">
        <w:t xml:space="preserve"> discovery</w:t>
      </w:r>
    </w:p>
    <w:p w14:paraId="63A9C50A" w14:textId="47381EE6" w:rsidR="00D5515F" w:rsidRDefault="00D5515F" w:rsidP="008D2360">
      <w:pPr>
        <w:pStyle w:val="ListParagraph"/>
        <w:numPr>
          <w:ilvl w:val="0"/>
          <w:numId w:val="7"/>
        </w:numPr>
        <w:spacing w:after="0" w:line="480" w:lineRule="auto"/>
      </w:pPr>
      <w:r>
        <w:t>Obtaining inspections</w:t>
      </w:r>
    </w:p>
    <w:p w14:paraId="4150A061" w14:textId="3596578E" w:rsidR="00D850F8" w:rsidRPr="00D850F8" w:rsidRDefault="00D850F8" w:rsidP="008D2360">
      <w:pPr>
        <w:pStyle w:val="ListParagraph"/>
        <w:numPr>
          <w:ilvl w:val="0"/>
          <w:numId w:val="7"/>
        </w:numPr>
        <w:spacing w:after="0" w:line="480" w:lineRule="auto"/>
      </w:pPr>
      <w:r w:rsidRPr="00D850F8">
        <w:t>Direct and cross examination of experts</w:t>
      </w:r>
    </w:p>
    <w:p w14:paraId="35F62956" w14:textId="7077AE6C" w:rsidR="00A3761D" w:rsidRDefault="00D850F8" w:rsidP="008D2360">
      <w:pPr>
        <w:pStyle w:val="ListParagraph"/>
        <w:numPr>
          <w:ilvl w:val="0"/>
          <w:numId w:val="7"/>
        </w:numPr>
        <w:spacing w:after="0" w:line="480" w:lineRule="auto"/>
      </w:pPr>
      <w:r>
        <w:t>War stories</w:t>
      </w:r>
    </w:p>
    <w:p w14:paraId="78278128" w14:textId="67EC25DC" w:rsidR="00F34898" w:rsidRPr="008D2360" w:rsidRDefault="00F34898" w:rsidP="008D2360">
      <w:pPr>
        <w:pStyle w:val="ListParagraph"/>
        <w:numPr>
          <w:ilvl w:val="0"/>
          <w:numId w:val="2"/>
        </w:numPr>
        <w:spacing w:after="0" w:line="480" w:lineRule="auto"/>
        <w:rPr>
          <w:b/>
          <w:bCs/>
        </w:rPr>
      </w:pPr>
      <w:r w:rsidRPr="008D2360">
        <w:rPr>
          <w:b/>
          <w:bCs/>
        </w:rPr>
        <w:t xml:space="preserve">Different types of estate property </w:t>
      </w:r>
    </w:p>
    <w:p w14:paraId="6C8C813F" w14:textId="4C5FC6A8" w:rsidR="00F34898" w:rsidRDefault="00F34898" w:rsidP="008D2360">
      <w:pPr>
        <w:pStyle w:val="ListParagraph"/>
        <w:numPr>
          <w:ilvl w:val="0"/>
          <w:numId w:val="6"/>
        </w:numPr>
        <w:spacing w:after="0" w:line="480" w:lineRule="auto"/>
      </w:pPr>
      <w:r>
        <w:t>Real property and appraisals</w:t>
      </w:r>
    </w:p>
    <w:p w14:paraId="5EFD2B6F" w14:textId="22EA438D" w:rsidR="00A3761D" w:rsidRDefault="00A3761D" w:rsidP="008D2360">
      <w:pPr>
        <w:pStyle w:val="ListParagraph"/>
        <w:numPr>
          <w:ilvl w:val="0"/>
          <w:numId w:val="6"/>
        </w:numPr>
        <w:spacing w:after="0" w:line="480" w:lineRule="auto"/>
      </w:pPr>
      <w:r>
        <w:t>Personal property</w:t>
      </w:r>
    </w:p>
    <w:p w14:paraId="5300C49D" w14:textId="19F30F24" w:rsidR="00A3761D" w:rsidRDefault="00A3761D" w:rsidP="008D2360">
      <w:pPr>
        <w:pStyle w:val="ListParagraph"/>
        <w:numPr>
          <w:ilvl w:val="0"/>
          <w:numId w:val="8"/>
        </w:numPr>
        <w:spacing w:after="0" w:line="480" w:lineRule="auto"/>
      </w:pPr>
      <w:r>
        <w:t>UCC searches</w:t>
      </w:r>
    </w:p>
    <w:p w14:paraId="6BDB166D" w14:textId="16D258B1" w:rsidR="00D5515F" w:rsidRDefault="00D5515F" w:rsidP="008D2360">
      <w:pPr>
        <w:pStyle w:val="ListParagraph"/>
        <w:numPr>
          <w:ilvl w:val="0"/>
          <w:numId w:val="8"/>
        </w:numPr>
        <w:spacing w:after="0" w:line="480" w:lineRule="auto"/>
      </w:pPr>
      <w:r>
        <w:t>Inventory liens</w:t>
      </w:r>
    </w:p>
    <w:p w14:paraId="2B91B35A" w14:textId="3047BA82" w:rsidR="00D5515F" w:rsidRDefault="00D5515F" w:rsidP="008D2360">
      <w:pPr>
        <w:pStyle w:val="ListParagraph"/>
        <w:numPr>
          <w:ilvl w:val="0"/>
          <w:numId w:val="8"/>
        </w:numPr>
        <w:spacing w:after="0" w:line="480" w:lineRule="auto"/>
      </w:pPr>
      <w:r>
        <w:t>Cash collateral</w:t>
      </w:r>
    </w:p>
    <w:p w14:paraId="56AE1F6E" w14:textId="13ACBDEE" w:rsidR="00A3761D" w:rsidRDefault="00A3761D" w:rsidP="008D2360">
      <w:pPr>
        <w:pStyle w:val="ListParagraph"/>
        <w:numPr>
          <w:ilvl w:val="0"/>
          <w:numId w:val="6"/>
        </w:numPr>
        <w:spacing w:after="0" w:line="480" w:lineRule="auto"/>
      </w:pPr>
      <w:r>
        <w:t>Intellectual property</w:t>
      </w:r>
    </w:p>
    <w:p w14:paraId="26161E3C" w14:textId="21413414" w:rsidR="00A3761D" w:rsidRDefault="00A3761D" w:rsidP="008D2360">
      <w:pPr>
        <w:pStyle w:val="ListParagraph"/>
        <w:numPr>
          <w:ilvl w:val="0"/>
          <w:numId w:val="6"/>
        </w:numPr>
        <w:spacing w:after="0" w:line="480" w:lineRule="auto"/>
      </w:pPr>
      <w:r>
        <w:t>Cryptocurrency</w:t>
      </w:r>
    </w:p>
    <w:p w14:paraId="294BC498" w14:textId="77777777" w:rsidR="00DD3766" w:rsidRDefault="00DD3766" w:rsidP="008D2360">
      <w:pPr>
        <w:pStyle w:val="ListParagraph"/>
        <w:spacing w:after="0" w:line="480" w:lineRule="auto"/>
        <w:ind w:left="1440"/>
      </w:pPr>
    </w:p>
    <w:p w14:paraId="4EFAD9BE" w14:textId="5D7EE38B" w:rsidR="00A3761D" w:rsidRDefault="00A3761D" w:rsidP="008D2360">
      <w:pPr>
        <w:pStyle w:val="ListParagraph"/>
        <w:spacing w:after="0" w:line="480" w:lineRule="auto"/>
        <w:ind w:left="1440"/>
      </w:pPr>
    </w:p>
    <w:p w14:paraId="1F1709F0" w14:textId="77777777" w:rsidR="00916BD4" w:rsidRDefault="00916BD4" w:rsidP="00E01C24"/>
    <w:sectPr w:rsidR="00916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32F49"/>
    <w:multiLevelType w:val="hybridMultilevel"/>
    <w:tmpl w:val="69206FCA"/>
    <w:lvl w:ilvl="0" w:tplc="FF5ACF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D86A95"/>
    <w:multiLevelType w:val="hybridMultilevel"/>
    <w:tmpl w:val="E08ABCA6"/>
    <w:lvl w:ilvl="0" w:tplc="C3C2A6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F062BE"/>
    <w:multiLevelType w:val="hybridMultilevel"/>
    <w:tmpl w:val="AF5A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83297"/>
    <w:multiLevelType w:val="hybridMultilevel"/>
    <w:tmpl w:val="387EBE22"/>
    <w:lvl w:ilvl="0" w:tplc="AC1AE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6068EE"/>
    <w:multiLevelType w:val="hybridMultilevel"/>
    <w:tmpl w:val="9DBE3182"/>
    <w:lvl w:ilvl="0" w:tplc="7DC69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13A55"/>
    <w:multiLevelType w:val="hybridMultilevel"/>
    <w:tmpl w:val="5ED2F314"/>
    <w:lvl w:ilvl="0" w:tplc="AC1E79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3D4115"/>
    <w:multiLevelType w:val="hybridMultilevel"/>
    <w:tmpl w:val="BA8C1602"/>
    <w:lvl w:ilvl="0" w:tplc="FBBAAC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6716AB"/>
    <w:multiLevelType w:val="hybridMultilevel"/>
    <w:tmpl w:val="9156F4BA"/>
    <w:lvl w:ilvl="0" w:tplc="444A32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E86009"/>
    <w:multiLevelType w:val="multilevel"/>
    <w:tmpl w:val="082E4C2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16cid:durableId="1619292643">
    <w:abstractNumId w:val="2"/>
  </w:num>
  <w:num w:numId="2" w16cid:durableId="1724131682">
    <w:abstractNumId w:val="4"/>
  </w:num>
  <w:num w:numId="3" w16cid:durableId="1591963505">
    <w:abstractNumId w:val="7"/>
  </w:num>
  <w:num w:numId="4" w16cid:durableId="1518886697">
    <w:abstractNumId w:val="1"/>
  </w:num>
  <w:num w:numId="5" w16cid:durableId="606163365">
    <w:abstractNumId w:val="6"/>
  </w:num>
  <w:num w:numId="6" w16cid:durableId="1069232870">
    <w:abstractNumId w:val="3"/>
  </w:num>
  <w:num w:numId="7" w16cid:durableId="2001352233">
    <w:abstractNumId w:val="0"/>
  </w:num>
  <w:num w:numId="8" w16cid:durableId="107701867">
    <w:abstractNumId w:val="5"/>
  </w:num>
  <w:num w:numId="9" w16cid:durableId="1401517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21"/>
    <w:rsid w:val="00231C11"/>
    <w:rsid w:val="00290D33"/>
    <w:rsid w:val="003119F4"/>
    <w:rsid w:val="00326D14"/>
    <w:rsid w:val="00350F21"/>
    <w:rsid w:val="003C2B4D"/>
    <w:rsid w:val="00574BDA"/>
    <w:rsid w:val="005A6A79"/>
    <w:rsid w:val="00686971"/>
    <w:rsid w:val="007C3725"/>
    <w:rsid w:val="00883D9A"/>
    <w:rsid w:val="008D2360"/>
    <w:rsid w:val="008F3D31"/>
    <w:rsid w:val="0090134E"/>
    <w:rsid w:val="00916BD4"/>
    <w:rsid w:val="0099010F"/>
    <w:rsid w:val="00A3761D"/>
    <w:rsid w:val="00D42BFB"/>
    <w:rsid w:val="00D5515F"/>
    <w:rsid w:val="00D850F8"/>
    <w:rsid w:val="00DD3766"/>
    <w:rsid w:val="00E01C24"/>
    <w:rsid w:val="00F3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103C"/>
  <w15:chartTrackingRefBased/>
  <w15:docId w15:val="{1D8C1B48-1049-46B7-9764-7EA036A2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F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F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F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F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F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F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F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F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F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F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F21"/>
    <w:rPr>
      <w:rFonts w:eastAsiaTheme="majorEastAsia" w:cstheme="majorBidi"/>
      <w:color w:val="272727" w:themeColor="text1" w:themeTint="D8"/>
    </w:rPr>
  </w:style>
  <w:style w:type="paragraph" w:styleId="Title">
    <w:name w:val="Title"/>
    <w:basedOn w:val="Normal"/>
    <w:next w:val="Normal"/>
    <w:link w:val="TitleChar"/>
    <w:uiPriority w:val="10"/>
    <w:qFormat/>
    <w:rsid w:val="00350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F21"/>
    <w:pPr>
      <w:spacing w:before="160"/>
      <w:jc w:val="center"/>
    </w:pPr>
    <w:rPr>
      <w:i/>
      <w:iCs/>
      <w:color w:val="404040" w:themeColor="text1" w:themeTint="BF"/>
    </w:rPr>
  </w:style>
  <w:style w:type="character" w:customStyle="1" w:styleId="QuoteChar">
    <w:name w:val="Quote Char"/>
    <w:basedOn w:val="DefaultParagraphFont"/>
    <w:link w:val="Quote"/>
    <w:uiPriority w:val="29"/>
    <w:rsid w:val="00350F21"/>
    <w:rPr>
      <w:i/>
      <w:iCs/>
      <w:color w:val="404040" w:themeColor="text1" w:themeTint="BF"/>
    </w:rPr>
  </w:style>
  <w:style w:type="paragraph" w:styleId="ListParagraph">
    <w:name w:val="List Paragraph"/>
    <w:basedOn w:val="Normal"/>
    <w:uiPriority w:val="34"/>
    <w:qFormat/>
    <w:rsid w:val="00350F21"/>
    <w:pPr>
      <w:ind w:left="720"/>
      <w:contextualSpacing/>
    </w:pPr>
  </w:style>
  <w:style w:type="character" w:styleId="IntenseEmphasis">
    <w:name w:val="Intense Emphasis"/>
    <w:basedOn w:val="DefaultParagraphFont"/>
    <w:uiPriority w:val="21"/>
    <w:qFormat/>
    <w:rsid w:val="00350F21"/>
    <w:rPr>
      <w:i/>
      <w:iCs/>
      <w:color w:val="2F5496" w:themeColor="accent1" w:themeShade="BF"/>
    </w:rPr>
  </w:style>
  <w:style w:type="paragraph" w:styleId="IntenseQuote">
    <w:name w:val="Intense Quote"/>
    <w:basedOn w:val="Normal"/>
    <w:next w:val="Normal"/>
    <w:link w:val="IntenseQuoteChar"/>
    <w:uiPriority w:val="30"/>
    <w:qFormat/>
    <w:rsid w:val="00350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F21"/>
    <w:rPr>
      <w:i/>
      <w:iCs/>
      <w:color w:val="2F5496" w:themeColor="accent1" w:themeShade="BF"/>
    </w:rPr>
  </w:style>
  <w:style w:type="character" w:styleId="IntenseReference">
    <w:name w:val="Intense Reference"/>
    <w:basedOn w:val="DefaultParagraphFont"/>
    <w:uiPriority w:val="32"/>
    <w:qFormat/>
    <w:rsid w:val="00350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2948">
      <w:bodyDiv w:val="1"/>
      <w:marLeft w:val="0"/>
      <w:marRight w:val="0"/>
      <w:marTop w:val="0"/>
      <w:marBottom w:val="0"/>
      <w:divBdr>
        <w:top w:val="none" w:sz="0" w:space="0" w:color="auto"/>
        <w:left w:val="none" w:sz="0" w:space="0" w:color="auto"/>
        <w:bottom w:val="none" w:sz="0" w:space="0" w:color="auto"/>
        <w:right w:val="none" w:sz="0" w:space="0" w:color="auto"/>
      </w:divBdr>
    </w:div>
    <w:div w:id="21353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B7CECA8CFF24E9E7EB89F4DC1ABAD" ma:contentTypeVersion="18" ma:contentTypeDescription="Create a new document." ma:contentTypeScope="" ma:versionID="51680317ccb33b7d3b0b1fd340c3c368">
  <xsd:schema xmlns:xsd="http://www.w3.org/2001/XMLSchema" xmlns:xs="http://www.w3.org/2001/XMLSchema" xmlns:p="http://schemas.microsoft.com/office/2006/metadata/properties" xmlns:ns2="62b159ee-bfdf-40b8-9c72-5642e5ae5a75" xmlns:ns3="f24a5fdc-c332-4b2e-8502-19183697fd2a" targetNamespace="http://schemas.microsoft.com/office/2006/metadata/properties" ma:root="true" ma:fieldsID="2e081d9dfe6ffd352cf90226a39729ef" ns2:_="" ns3:_="">
    <xsd:import namespace="62b159ee-bfdf-40b8-9c72-5642e5ae5a75"/>
    <xsd:import namespace="f24a5fdc-c332-4b2e-8502-19183697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59ee-bfdf-40b8-9c72-5642e5ae5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3a7f2-0982-430c-9644-dd06a3d99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a5fdc-c332-4b2e-8502-19183697fd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a0628-44c7-448f-81d8-07784bb6cc34}" ma:internalName="TaxCatchAll" ma:showField="CatchAllData" ma:web="f24a5fdc-c332-4b2e-8502-19183697f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a5fdc-c332-4b2e-8502-19183697fd2a" xsi:nil="true"/>
    <lcf76f155ced4ddcb4097134ff3c332f xmlns="62b159ee-bfdf-40b8-9c72-5642e5ae5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E558E-67BB-405E-8207-54B219AC8BE4}"/>
</file>

<file path=customXml/itemProps2.xml><?xml version="1.0" encoding="utf-8"?>
<ds:datastoreItem xmlns:ds="http://schemas.openxmlformats.org/officeDocument/2006/customXml" ds:itemID="{7E0EE896-83E8-47D9-8E0B-2B31206D16BE}"/>
</file>

<file path=customXml/itemProps3.xml><?xml version="1.0" encoding="utf-8"?>
<ds:datastoreItem xmlns:ds="http://schemas.openxmlformats.org/officeDocument/2006/customXml" ds:itemID="{09C8613B-511D-45A2-85DF-46521C145574}"/>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Woolley</dc:creator>
  <cp:keywords/>
  <dc:description/>
  <cp:lastModifiedBy>Dawn M. Federico, CGA</cp:lastModifiedBy>
  <cp:revision>2</cp:revision>
  <dcterms:created xsi:type="dcterms:W3CDTF">2025-02-21T21:46:00Z</dcterms:created>
  <dcterms:modified xsi:type="dcterms:W3CDTF">2025-02-21T21:46:00Z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0x01010092DB7CECA8CFF24E9E7EB89F4DC1ABAD</vt:lpwstr>
  </property>
</Properties>
</file>