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1A36" w14:textId="77777777" w:rsidR="00A106F0" w:rsidRPr="00A106F0" w:rsidRDefault="00A106F0" w:rsidP="00A106F0">
      <w:pPr>
        <w:pStyle w:val="CHSglBody"/>
        <w:spacing w:after="0"/>
        <w:rPr>
          <w:b/>
          <w:bCs/>
        </w:rPr>
      </w:pPr>
      <w:r w:rsidRPr="00A106F0">
        <w:rPr>
          <w:b/>
          <w:bCs/>
        </w:rPr>
        <w:t xml:space="preserve">I. Welcome and Introduction (5 mins) </w:t>
      </w:r>
    </w:p>
    <w:p w14:paraId="7972609B" w14:textId="77777777" w:rsidR="00A106F0" w:rsidRPr="00A106F0" w:rsidRDefault="00A106F0" w:rsidP="00A106F0">
      <w:pPr>
        <w:pStyle w:val="CHSglBody"/>
        <w:numPr>
          <w:ilvl w:val="0"/>
          <w:numId w:val="29"/>
        </w:numPr>
        <w:spacing w:after="0"/>
      </w:pPr>
      <w:r w:rsidRPr="00A106F0">
        <w:t>Brief introduction of the presenters</w:t>
      </w:r>
    </w:p>
    <w:p w14:paraId="33F11617" w14:textId="77777777" w:rsidR="00A106F0" w:rsidRPr="00A106F0" w:rsidRDefault="00A106F0" w:rsidP="00A106F0">
      <w:pPr>
        <w:pStyle w:val="CHSglBody"/>
        <w:numPr>
          <w:ilvl w:val="0"/>
          <w:numId w:val="29"/>
        </w:numPr>
        <w:spacing w:after="0"/>
      </w:pPr>
      <w:r w:rsidRPr="00A106F0">
        <w:t>Overview of the presentation's objectives and topics to set context</w:t>
      </w:r>
    </w:p>
    <w:p w14:paraId="42E94CE4" w14:textId="77777777" w:rsidR="00A106F0" w:rsidRPr="00A106F0" w:rsidRDefault="00A106F0" w:rsidP="00A106F0">
      <w:pPr>
        <w:pStyle w:val="CHSglBody"/>
        <w:spacing w:after="0"/>
      </w:pPr>
    </w:p>
    <w:p w14:paraId="0B37AD2F" w14:textId="77777777" w:rsidR="00A106F0" w:rsidRPr="00A106F0" w:rsidRDefault="00A106F0" w:rsidP="00A106F0">
      <w:pPr>
        <w:pStyle w:val="CHSglBody"/>
        <w:spacing w:after="0"/>
        <w:rPr>
          <w:b/>
          <w:bCs/>
        </w:rPr>
      </w:pPr>
      <w:r w:rsidRPr="00A106F0">
        <w:rPr>
          <w:b/>
          <w:bCs/>
        </w:rPr>
        <w:t>II. Shifting Priorities in Washington 10 mins</w:t>
      </w:r>
    </w:p>
    <w:p w14:paraId="71FB9C31" w14:textId="77777777" w:rsidR="00A106F0" w:rsidRPr="00A106F0" w:rsidRDefault="00A106F0" w:rsidP="00A106F0">
      <w:pPr>
        <w:pStyle w:val="CHSglBody"/>
        <w:numPr>
          <w:ilvl w:val="0"/>
          <w:numId w:val="30"/>
        </w:numPr>
        <w:spacing w:after="0"/>
      </w:pPr>
      <w:r w:rsidRPr="00A106F0">
        <w:t>Anticipate a focus on deregulation by the Trump administration; may impact the following:</w:t>
      </w:r>
    </w:p>
    <w:p w14:paraId="5CA405E0" w14:textId="77777777" w:rsidR="00A106F0" w:rsidRPr="00A106F0" w:rsidRDefault="00A106F0" w:rsidP="00A106F0">
      <w:pPr>
        <w:pStyle w:val="CHSglBody"/>
        <w:numPr>
          <w:ilvl w:val="1"/>
          <w:numId w:val="30"/>
        </w:numPr>
        <w:spacing w:after="0"/>
      </w:pPr>
      <w:r w:rsidRPr="00A106F0">
        <w:t>AI</w:t>
      </w:r>
    </w:p>
    <w:p w14:paraId="1B8248CE" w14:textId="77777777" w:rsidR="00A106F0" w:rsidRPr="00A106F0" w:rsidRDefault="00A106F0" w:rsidP="00A106F0">
      <w:pPr>
        <w:pStyle w:val="CHSglBody"/>
        <w:numPr>
          <w:ilvl w:val="1"/>
          <w:numId w:val="30"/>
        </w:numPr>
        <w:spacing w:after="0"/>
      </w:pPr>
      <w:r w:rsidRPr="00A106F0">
        <w:t>Cryptocurrency</w:t>
      </w:r>
    </w:p>
    <w:p w14:paraId="702FC5EC" w14:textId="77777777" w:rsidR="00A106F0" w:rsidRPr="00A106F0" w:rsidRDefault="00A106F0" w:rsidP="00A106F0">
      <w:pPr>
        <w:pStyle w:val="CHSglBody"/>
        <w:numPr>
          <w:ilvl w:val="1"/>
          <w:numId w:val="30"/>
        </w:numPr>
        <w:spacing w:after="0"/>
      </w:pPr>
      <w:r w:rsidRPr="00A106F0">
        <w:t>Fintech</w:t>
      </w:r>
    </w:p>
    <w:p w14:paraId="73C8ECB0" w14:textId="77777777" w:rsidR="00A106F0" w:rsidRPr="00A106F0" w:rsidRDefault="00A106F0" w:rsidP="00A106F0">
      <w:pPr>
        <w:pStyle w:val="CHSglBody"/>
        <w:numPr>
          <w:ilvl w:val="1"/>
          <w:numId w:val="30"/>
        </w:numPr>
        <w:spacing w:after="0"/>
      </w:pPr>
      <w:r w:rsidRPr="00A106F0">
        <w:t>Credit cards</w:t>
      </w:r>
    </w:p>
    <w:p w14:paraId="7E2D02D0" w14:textId="77777777" w:rsidR="00A106F0" w:rsidRPr="00A106F0" w:rsidRDefault="00A106F0" w:rsidP="00A106F0">
      <w:pPr>
        <w:pStyle w:val="CHSglBody"/>
        <w:numPr>
          <w:ilvl w:val="0"/>
          <w:numId w:val="30"/>
        </w:numPr>
        <w:spacing w:after="0"/>
      </w:pPr>
      <w:r w:rsidRPr="00A106F0">
        <w:t>Reduced role of administrative state generally across federal agencies</w:t>
      </w:r>
    </w:p>
    <w:p w14:paraId="1FD1CE8A" w14:textId="77777777" w:rsidR="00A106F0" w:rsidRPr="00A106F0" w:rsidRDefault="00A106F0" w:rsidP="00A106F0">
      <w:pPr>
        <w:pStyle w:val="CHSglBody"/>
        <w:numPr>
          <w:ilvl w:val="1"/>
          <w:numId w:val="30"/>
        </w:numPr>
        <w:spacing w:after="0"/>
      </w:pPr>
      <w:r w:rsidRPr="00A106F0">
        <w:t>Examples include reduction in FBI, DOE, USAID, and others</w:t>
      </w:r>
    </w:p>
    <w:p w14:paraId="4EED4A0A" w14:textId="6F19094F" w:rsidR="00A106F0" w:rsidRPr="00A106F0" w:rsidRDefault="00A106F0" w:rsidP="00A106F0">
      <w:pPr>
        <w:pStyle w:val="CHSglBody"/>
        <w:numPr>
          <w:ilvl w:val="0"/>
          <w:numId w:val="30"/>
        </w:numPr>
        <w:spacing w:after="0"/>
      </w:pPr>
      <w:r w:rsidRPr="00A106F0">
        <w:t>In Congress, potential areas of bipartisan alignment on various topics</w:t>
      </w:r>
      <w:r>
        <w:t>:</w:t>
      </w:r>
    </w:p>
    <w:p w14:paraId="003E4D89" w14:textId="77777777" w:rsidR="00A106F0" w:rsidRPr="00A106F0" w:rsidRDefault="00A106F0" w:rsidP="00A106F0">
      <w:pPr>
        <w:pStyle w:val="CHSglBody"/>
        <w:numPr>
          <w:ilvl w:val="1"/>
          <w:numId w:val="30"/>
        </w:numPr>
        <w:spacing w:after="0"/>
      </w:pPr>
      <w:r w:rsidRPr="00A106F0">
        <w:t xml:space="preserve">Late fees </w:t>
      </w:r>
    </w:p>
    <w:p w14:paraId="71312375" w14:textId="77777777" w:rsidR="00A106F0" w:rsidRPr="00A106F0" w:rsidRDefault="00A106F0" w:rsidP="00A106F0">
      <w:pPr>
        <w:pStyle w:val="CHSglBody"/>
        <w:numPr>
          <w:ilvl w:val="1"/>
          <w:numId w:val="30"/>
        </w:numPr>
        <w:spacing w:after="0"/>
      </w:pPr>
      <w:r w:rsidRPr="00A106F0">
        <w:t>Interest rates</w:t>
      </w:r>
    </w:p>
    <w:p w14:paraId="052A4388" w14:textId="77777777" w:rsidR="00A106F0" w:rsidRDefault="00A106F0" w:rsidP="00A106F0">
      <w:pPr>
        <w:pStyle w:val="CHSglBody"/>
        <w:numPr>
          <w:ilvl w:val="1"/>
          <w:numId w:val="30"/>
        </w:numPr>
        <w:spacing w:after="0"/>
      </w:pPr>
      <w:r w:rsidRPr="00A106F0">
        <w:t>Data protection and security</w:t>
      </w:r>
    </w:p>
    <w:p w14:paraId="5FEC49B6" w14:textId="2ED14C79" w:rsidR="00A106F0" w:rsidRPr="00A106F0" w:rsidRDefault="00A106F0" w:rsidP="00A106F0">
      <w:pPr>
        <w:pStyle w:val="CHSglBody"/>
        <w:numPr>
          <w:ilvl w:val="1"/>
          <w:numId w:val="30"/>
        </w:numPr>
        <w:spacing w:after="0"/>
      </w:pPr>
      <w:r>
        <w:t xml:space="preserve">Call blocking + text blocking protections </w:t>
      </w:r>
    </w:p>
    <w:p w14:paraId="416D7C37" w14:textId="7E90EAA2" w:rsidR="00A106F0" w:rsidRDefault="00A106F0" w:rsidP="00A106F0">
      <w:pPr>
        <w:pStyle w:val="CHSglBody"/>
        <w:numPr>
          <w:ilvl w:val="1"/>
          <w:numId w:val="30"/>
        </w:numPr>
        <w:spacing w:after="0"/>
      </w:pPr>
      <w:r>
        <w:t xml:space="preserve">Additional </w:t>
      </w:r>
      <w:r w:rsidRPr="00A106F0">
        <w:t>Consumer protections in medical, student loan, and EWA/other emerging financial products</w:t>
      </w:r>
      <w:r>
        <w:t xml:space="preserve">, </w:t>
      </w:r>
    </w:p>
    <w:p w14:paraId="3DADCDAC" w14:textId="68449507" w:rsidR="00A106F0" w:rsidRPr="00A106F0" w:rsidRDefault="00A106F0" w:rsidP="00A106F0">
      <w:pPr>
        <w:pStyle w:val="CHSglBody"/>
        <w:numPr>
          <w:ilvl w:val="1"/>
          <w:numId w:val="30"/>
        </w:numPr>
        <w:spacing w:after="0"/>
      </w:pPr>
      <w:r>
        <w:t>A focus on previously unregulated commercial debt, especially as is applies to small businesses, my fall in this area</w:t>
      </w:r>
    </w:p>
    <w:p w14:paraId="20433295" w14:textId="77777777" w:rsidR="00A106F0" w:rsidRPr="00A106F0" w:rsidRDefault="00A106F0" w:rsidP="00A106F0">
      <w:pPr>
        <w:pStyle w:val="CHSglBody"/>
        <w:spacing w:after="0"/>
      </w:pPr>
    </w:p>
    <w:p w14:paraId="4CF8477C" w14:textId="77777777" w:rsidR="00A106F0" w:rsidRPr="00A106F0" w:rsidRDefault="00A106F0" w:rsidP="00A106F0">
      <w:pPr>
        <w:pStyle w:val="CHSglBody"/>
        <w:spacing w:after="0"/>
        <w:rPr>
          <w:b/>
          <w:bCs/>
        </w:rPr>
      </w:pPr>
      <w:r w:rsidRPr="00A106F0">
        <w:rPr>
          <w:b/>
          <w:bCs/>
        </w:rPr>
        <w:t>III. What is the Future of the CFPB? 10 mins</w:t>
      </w:r>
    </w:p>
    <w:p w14:paraId="45D8462B" w14:textId="2E871755" w:rsidR="00A106F0" w:rsidRDefault="00A106F0" w:rsidP="00A106F0">
      <w:pPr>
        <w:pStyle w:val="CHSglBody"/>
        <w:numPr>
          <w:ilvl w:val="0"/>
          <w:numId w:val="31"/>
        </w:numPr>
        <w:spacing w:after="0"/>
      </w:pPr>
      <w:r>
        <w:t xml:space="preserve">A quick look back at first Trump term and </w:t>
      </w:r>
      <w:r w:rsidR="00E061EF">
        <w:t xml:space="preserve">Director </w:t>
      </w:r>
      <w:r>
        <w:t>Kraninger tenure for guidance</w:t>
      </w:r>
    </w:p>
    <w:p w14:paraId="6BDB3337" w14:textId="0746E553" w:rsidR="00A106F0" w:rsidRPr="00A106F0" w:rsidRDefault="00A106F0" w:rsidP="00A106F0">
      <w:pPr>
        <w:pStyle w:val="CHSglBody"/>
        <w:numPr>
          <w:ilvl w:val="0"/>
          <w:numId w:val="31"/>
        </w:numPr>
        <w:spacing w:after="0"/>
      </w:pPr>
      <w:r w:rsidRPr="00A106F0">
        <w:t xml:space="preserve">DOGE approach </w:t>
      </w:r>
    </w:p>
    <w:p w14:paraId="5348B6A5" w14:textId="0F96F205" w:rsidR="00A106F0" w:rsidRPr="00A106F0" w:rsidRDefault="00E061EF" w:rsidP="00A106F0">
      <w:pPr>
        <w:pStyle w:val="CHSglBody"/>
        <w:numPr>
          <w:ilvl w:val="1"/>
          <w:numId w:val="31"/>
        </w:numPr>
        <w:spacing w:after="0"/>
      </w:pPr>
      <w:r>
        <w:t>CFPB is a d</w:t>
      </w:r>
      <w:r w:rsidR="00A106F0" w:rsidRPr="00A106F0">
        <w:t>uplicative agency and should be abolished</w:t>
      </w:r>
    </w:p>
    <w:p w14:paraId="2793C6E9" w14:textId="77777777" w:rsidR="00A106F0" w:rsidRDefault="00A106F0" w:rsidP="00A106F0">
      <w:pPr>
        <w:pStyle w:val="CHSglBody"/>
        <w:numPr>
          <w:ilvl w:val="0"/>
          <w:numId w:val="31"/>
        </w:numPr>
        <w:spacing w:after="0"/>
      </w:pPr>
      <w:r w:rsidRPr="00A106F0">
        <w:t xml:space="preserve">Congressional approach </w:t>
      </w:r>
    </w:p>
    <w:p w14:paraId="3D8B3498" w14:textId="120B882C" w:rsidR="00E80B7E" w:rsidRDefault="00E80B7E" w:rsidP="00E80B7E">
      <w:pPr>
        <w:pStyle w:val="CHSglBody"/>
        <w:numPr>
          <w:ilvl w:val="1"/>
          <w:numId w:val="31"/>
        </w:numPr>
        <w:spacing w:after="0"/>
      </w:pPr>
      <w:r>
        <w:t>Nearly impossible to abolish entirely with current thin margins</w:t>
      </w:r>
    </w:p>
    <w:p w14:paraId="5E0C1C5A" w14:textId="359F7BFA" w:rsidR="00E80B7E" w:rsidRPr="00A106F0" w:rsidRDefault="00E80B7E" w:rsidP="00E80B7E">
      <w:pPr>
        <w:pStyle w:val="CHSglBody"/>
        <w:numPr>
          <w:ilvl w:val="1"/>
          <w:numId w:val="31"/>
        </w:numPr>
        <w:spacing w:after="0"/>
      </w:pPr>
      <w:r>
        <w:t>Bi-partisan commission similar to FCC?</w:t>
      </w:r>
    </w:p>
    <w:p w14:paraId="6B42B2DB" w14:textId="77777777" w:rsidR="00A106F0" w:rsidRPr="00A106F0" w:rsidRDefault="00A106F0" w:rsidP="00A106F0">
      <w:pPr>
        <w:pStyle w:val="CHSglBody"/>
        <w:numPr>
          <w:ilvl w:val="1"/>
          <w:numId w:val="31"/>
        </w:numPr>
        <w:spacing w:after="0"/>
      </w:pPr>
      <w:r w:rsidRPr="00A106F0">
        <w:t>HFSC already considering bill to subject CFPB to appropriations process</w:t>
      </w:r>
    </w:p>
    <w:p w14:paraId="78D47012" w14:textId="77777777" w:rsidR="00A106F0" w:rsidRPr="00A106F0" w:rsidRDefault="00A106F0" w:rsidP="00A106F0">
      <w:pPr>
        <w:pStyle w:val="CHSglBody"/>
        <w:numPr>
          <w:ilvl w:val="1"/>
          <w:numId w:val="31"/>
        </w:numPr>
        <w:spacing w:after="0"/>
      </w:pPr>
      <w:r w:rsidRPr="00A106F0">
        <w:t>Potential CRA efforts to overturn CFPB rules finalized in fall/winter 2024 prior to new administration and status of same</w:t>
      </w:r>
    </w:p>
    <w:p w14:paraId="08DC4DC4" w14:textId="77777777" w:rsidR="00A106F0" w:rsidRPr="00A106F0" w:rsidRDefault="00A106F0" w:rsidP="00A106F0">
      <w:pPr>
        <w:pStyle w:val="CHSglBody"/>
        <w:numPr>
          <w:ilvl w:val="0"/>
          <w:numId w:val="31"/>
        </w:numPr>
        <w:spacing w:after="0"/>
      </w:pPr>
      <w:r w:rsidRPr="00A106F0">
        <w:t>Acting Director’s approach</w:t>
      </w:r>
    </w:p>
    <w:p w14:paraId="06A008FC" w14:textId="77777777" w:rsidR="00A106F0" w:rsidRPr="00A106F0" w:rsidRDefault="00A106F0" w:rsidP="00A106F0">
      <w:pPr>
        <w:pStyle w:val="CHSglBody"/>
        <w:numPr>
          <w:ilvl w:val="1"/>
          <w:numId w:val="31"/>
        </w:numPr>
        <w:spacing w:after="0"/>
      </w:pPr>
      <w:r w:rsidRPr="00A106F0">
        <w:t>Current status of freeze on CFPB enforcement, rulemaking, and litigation stayed to align with new Administration’s priorities</w:t>
      </w:r>
    </w:p>
    <w:p w14:paraId="4485688A" w14:textId="0B22BA11" w:rsidR="00A106F0" w:rsidRPr="00A106F0" w:rsidRDefault="00A106F0" w:rsidP="00A106F0">
      <w:pPr>
        <w:pStyle w:val="CHSglBody"/>
        <w:numPr>
          <w:ilvl w:val="1"/>
          <w:numId w:val="31"/>
        </w:numPr>
        <w:spacing w:after="0"/>
      </w:pPr>
      <w:r w:rsidRPr="00A106F0">
        <w:t>Status of supervisory activities</w:t>
      </w:r>
    </w:p>
    <w:p w14:paraId="4D084A6D" w14:textId="77777777" w:rsidR="00A106F0" w:rsidRPr="00A106F0" w:rsidRDefault="00A106F0" w:rsidP="00A106F0">
      <w:pPr>
        <w:pStyle w:val="CHSglBody"/>
        <w:numPr>
          <w:ilvl w:val="1"/>
          <w:numId w:val="31"/>
        </w:numPr>
        <w:spacing w:after="0"/>
      </w:pPr>
      <w:r w:rsidRPr="00A106F0">
        <w:t>Consumer complaint management</w:t>
      </w:r>
    </w:p>
    <w:p w14:paraId="521C1EB3" w14:textId="77777777" w:rsidR="00A106F0" w:rsidRPr="00A106F0" w:rsidRDefault="00A106F0" w:rsidP="00A106F0">
      <w:pPr>
        <w:pStyle w:val="CHSglBody"/>
        <w:numPr>
          <w:ilvl w:val="0"/>
          <w:numId w:val="31"/>
        </w:numPr>
        <w:spacing w:after="0"/>
      </w:pPr>
      <w:r w:rsidRPr="00A106F0">
        <w:t>Forecasting future activities and priorities</w:t>
      </w:r>
    </w:p>
    <w:p w14:paraId="1BD29079" w14:textId="11223AD3" w:rsidR="00A106F0" w:rsidRPr="00A106F0" w:rsidRDefault="00A106F0" w:rsidP="00A106F0">
      <w:pPr>
        <w:pStyle w:val="CHSglBody"/>
        <w:numPr>
          <w:ilvl w:val="1"/>
          <w:numId w:val="31"/>
        </w:numPr>
        <w:spacing w:after="0"/>
      </w:pPr>
      <w:r w:rsidRPr="00A106F0">
        <w:t>Reduced enforcement</w:t>
      </w:r>
      <w:r w:rsidR="00E061EF">
        <w:t xml:space="preserve">: volume of actions may not decrease, but fines and penalties </w:t>
      </w:r>
      <w:r w:rsidR="00E80B7E">
        <w:t>likely</w:t>
      </w:r>
      <w:r w:rsidR="00E061EF">
        <w:t xml:space="preserve"> will</w:t>
      </w:r>
      <w:r w:rsidR="00E80B7E">
        <w:t xml:space="preserve"> </w:t>
      </w:r>
      <w:proofErr w:type="gramStart"/>
      <w:r w:rsidR="00E80B7E">
        <w:t>based</w:t>
      </w:r>
      <w:proofErr w:type="gramEnd"/>
      <w:r w:rsidR="00E80B7E">
        <w:t xml:space="preserve"> on past precedent</w:t>
      </w:r>
      <w:r w:rsidR="00E061EF">
        <w:t xml:space="preserve">. </w:t>
      </w:r>
    </w:p>
    <w:p w14:paraId="77FD2475" w14:textId="77777777" w:rsidR="00A106F0" w:rsidRPr="00A106F0" w:rsidRDefault="00A106F0" w:rsidP="00A106F0">
      <w:pPr>
        <w:pStyle w:val="CHSglBody"/>
        <w:numPr>
          <w:ilvl w:val="1"/>
          <w:numId w:val="31"/>
        </w:numPr>
        <w:spacing w:after="0"/>
      </w:pPr>
      <w:r w:rsidRPr="00A106F0">
        <w:t xml:space="preserve">Anticipated rulemaking activities to amend existing rules/proposed rules </w:t>
      </w:r>
    </w:p>
    <w:p w14:paraId="456C86AD" w14:textId="77777777" w:rsidR="00A106F0" w:rsidRPr="00E061EF" w:rsidRDefault="00A106F0" w:rsidP="00A106F0">
      <w:pPr>
        <w:pStyle w:val="CHSglBody"/>
        <w:numPr>
          <w:ilvl w:val="1"/>
          <w:numId w:val="31"/>
        </w:numPr>
        <w:spacing w:after="0"/>
        <w:rPr>
          <w:b/>
          <w:bCs/>
        </w:rPr>
      </w:pPr>
      <w:r w:rsidRPr="00A106F0">
        <w:t xml:space="preserve">More traditional approach to defining and enforcing fair lending </w:t>
      </w:r>
    </w:p>
    <w:p w14:paraId="2BECFF8C" w14:textId="4D647A78" w:rsidR="00A106F0" w:rsidRPr="00E061EF" w:rsidRDefault="00A106F0" w:rsidP="00A106F0">
      <w:pPr>
        <w:pStyle w:val="CHSglBody"/>
        <w:numPr>
          <w:ilvl w:val="1"/>
          <w:numId w:val="31"/>
        </w:numPr>
        <w:spacing w:after="0"/>
        <w:rPr>
          <w:b/>
          <w:bCs/>
        </w:rPr>
      </w:pPr>
      <w:r>
        <w:t>Supervisions to likely continue in full force</w:t>
      </w:r>
      <w:r w:rsidR="00B13248">
        <w:t xml:space="preserve"> as they always have</w:t>
      </w:r>
      <w:r>
        <w:t xml:space="preserve"> </w:t>
      </w:r>
    </w:p>
    <w:p w14:paraId="6F778385" w14:textId="77777777" w:rsidR="00A106F0" w:rsidRPr="00A106F0" w:rsidRDefault="00A106F0" w:rsidP="00A106F0">
      <w:pPr>
        <w:pStyle w:val="CHSglBody"/>
        <w:spacing w:after="0"/>
        <w:rPr>
          <w:b/>
          <w:bCs/>
        </w:rPr>
      </w:pPr>
    </w:p>
    <w:p w14:paraId="56FD7C00" w14:textId="77777777" w:rsidR="00A106F0" w:rsidRPr="00A106F0" w:rsidRDefault="00A106F0" w:rsidP="00A106F0">
      <w:pPr>
        <w:pStyle w:val="CHSglBody"/>
        <w:spacing w:after="0"/>
        <w:rPr>
          <w:b/>
          <w:bCs/>
        </w:rPr>
      </w:pPr>
      <w:r w:rsidRPr="00A106F0">
        <w:rPr>
          <w:b/>
          <w:bCs/>
        </w:rPr>
        <w:t>IV. Judicial Deference in a Post-</w:t>
      </w:r>
      <w:r w:rsidRPr="00A106F0">
        <w:rPr>
          <w:b/>
          <w:bCs/>
          <w:i/>
          <w:iCs/>
        </w:rPr>
        <w:t>Chevron</w:t>
      </w:r>
      <w:r w:rsidRPr="00A106F0">
        <w:rPr>
          <w:b/>
          <w:bCs/>
        </w:rPr>
        <w:t xml:space="preserve"> world - 10 mins</w:t>
      </w:r>
    </w:p>
    <w:p w14:paraId="558B0169" w14:textId="77777777" w:rsidR="00A106F0" w:rsidRPr="00A106F0" w:rsidRDefault="00A106F0" w:rsidP="00A106F0">
      <w:pPr>
        <w:pStyle w:val="CHSglBody"/>
        <w:numPr>
          <w:ilvl w:val="0"/>
          <w:numId w:val="32"/>
        </w:numPr>
        <w:spacing w:after="0"/>
      </w:pPr>
      <w:r w:rsidRPr="00A106F0">
        <w:t>Why this matters?</w:t>
      </w:r>
    </w:p>
    <w:p w14:paraId="50C20B2F" w14:textId="77777777" w:rsidR="00A106F0" w:rsidRPr="00A106F0" w:rsidRDefault="00A106F0" w:rsidP="00A106F0">
      <w:pPr>
        <w:pStyle w:val="CHSglBody"/>
        <w:numPr>
          <w:ilvl w:val="1"/>
          <w:numId w:val="32"/>
        </w:numPr>
        <w:spacing w:after="0"/>
      </w:pPr>
      <w:r w:rsidRPr="00A106F0">
        <w:t>Basis on which to challenge existing and future rulemaking efforts</w:t>
      </w:r>
    </w:p>
    <w:p w14:paraId="3F33F572" w14:textId="77777777" w:rsidR="00A106F0" w:rsidRPr="00A106F0" w:rsidRDefault="00A106F0" w:rsidP="00A106F0">
      <w:pPr>
        <w:pStyle w:val="CHSglBody"/>
        <w:numPr>
          <w:ilvl w:val="1"/>
          <w:numId w:val="32"/>
        </w:numPr>
        <w:spacing w:after="0"/>
      </w:pPr>
      <w:r w:rsidRPr="00A106F0">
        <w:t>Courts no longer have to defer to such rules but can engage in own, independent analysis to decide whether to apply the rule</w:t>
      </w:r>
    </w:p>
    <w:p w14:paraId="475BFB6B" w14:textId="77777777" w:rsidR="00A106F0" w:rsidRPr="00A106F0" w:rsidRDefault="00A106F0" w:rsidP="00A106F0">
      <w:pPr>
        <w:pStyle w:val="CHSglBody"/>
        <w:numPr>
          <w:ilvl w:val="0"/>
          <w:numId w:val="32"/>
        </w:numPr>
        <w:spacing w:after="0"/>
      </w:pPr>
      <w:r w:rsidRPr="00A106F0">
        <w:t xml:space="preserve">Discussion of </w:t>
      </w:r>
      <w:r w:rsidRPr="00E061EF">
        <w:rPr>
          <w:i/>
          <w:iCs/>
        </w:rPr>
        <w:t>Chevron</w:t>
      </w:r>
      <w:r w:rsidRPr="00A106F0">
        <w:t xml:space="preserve"> Deference </w:t>
      </w:r>
    </w:p>
    <w:p w14:paraId="2EC90C04" w14:textId="77777777" w:rsidR="00A106F0" w:rsidRPr="00A106F0" w:rsidRDefault="00A106F0" w:rsidP="00A106F0">
      <w:pPr>
        <w:pStyle w:val="CHSglBody"/>
        <w:numPr>
          <w:ilvl w:val="1"/>
          <w:numId w:val="32"/>
        </w:numPr>
        <w:spacing w:after="0"/>
      </w:pPr>
      <w:r w:rsidRPr="00A106F0">
        <w:t>Overview and implications</w:t>
      </w:r>
    </w:p>
    <w:p w14:paraId="71DECE9D" w14:textId="77777777" w:rsidR="00A106F0" w:rsidRPr="00A106F0" w:rsidRDefault="00A106F0" w:rsidP="00A106F0">
      <w:pPr>
        <w:pStyle w:val="CHSglBody"/>
        <w:numPr>
          <w:ilvl w:val="0"/>
          <w:numId w:val="32"/>
        </w:numPr>
        <w:spacing w:after="0"/>
      </w:pPr>
      <w:r w:rsidRPr="00A106F0">
        <w:t xml:space="preserve">What </w:t>
      </w:r>
      <w:r w:rsidRPr="00E061EF">
        <w:rPr>
          <w:i/>
          <w:iCs/>
        </w:rPr>
        <w:t>Loper Bright</w:t>
      </w:r>
      <w:r w:rsidRPr="00A106F0">
        <w:t xml:space="preserve"> changed</w:t>
      </w:r>
    </w:p>
    <w:p w14:paraId="0BA96316" w14:textId="77777777" w:rsidR="00A106F0" w:rsidRPr="00A106F0" w:rsidRDefault="00A106F0" w:rsidP="00A106F0">
      <w:pPr>
        <w:pStyle w:val="CHSglBody"/>
        <w:numPr>
          <w:ilvl w:val="1"/>
          <w:numId w:val="32"/>
        </w:numPr>
        <w:spacing w:after="0"/>
      </w:pPr>
      <w:r w:rsidRPr="00A106F0">
        <w:lastRenderedPageBreak/>
        <w:t>Case study and impact</w:t>
      </w:r>
    </w:p>
    <w:p w14:paraId="7C4AF4D1" w14:textId="77777777" w:rsidR="00A106F0" w:rsidRPr="00A106F0" w:rsidRDefault="00A106F0" w:rsidP="00A106F0">
      <w:pPr>
        <w:pStyle w:val="CHSglBody"/>
        <w:numPr>
          <w:ilvl w:val="1"/>
          <w:numId w:val="32"/>
        </w:numPr>
        <w:spacing w:after="0"/>
      </w:pPr>
      <w:r w:rsidRPr="00A106F0">
        <w:t>Options in litigation and/or challenging existing rules</w:t>
      </w:r>
    </w:p>
    <w:p w14:paraId="629EEE1C" w14:textId="77777777" w:rsidR="00A106F0" w:rsidRPr="00A106F0" w:rsidRDefault="00A106F0" w:rsidP="00A106F0">
      <w:pPr>
        <w:pStyle w:val="CHSglBody"/>
        <w:numPr>
          <w:ilvl w:val="0"/>
          <w:numId w:val="32"/>
        </w:numPr>
        <w:spacing w:after="0"/>
      </w:pPr>
      <w:r w:rsidRPr="00A106F0">
        <w:t>Other strategies to challenge rules</w:t>
      </w:r>
    </w:p>
    <w:p w14:paraId="06218F80" w14:textId="77777777" w:rsidR="00A106F0" w:rsidRPr="00A106F0" w:rsidRDefault="00A106F0" w:rsidP="00A106F0">
      <w:pPr>
        <w:pStyle w:val="CHSglBody"/>
        <w:numPr>
          <w:ilvl w:val="1"/>
          <w:numId w:val="32"/>
        </w:numPr>
        <w:spacing w:after="0"/>
      </w:pPr>
      <w:r w:rsidRPr="00A106F0">
        <w:t>Auer Deference</w:t>
      </w:r>
    </w:p>
    <w:p w14:paraId="508AE77B" w14:textId="77777777" w:rsidR="00A106F0" w:rsidRPr="00A106F0" w:rsidRDefault="00A106F0" w:rsidP="00A106F0">
      <w:pPr>
        <w:pStyle w:val="CHSglBody"/>
        <w:numPr>
          <w:ilvl w:val="1"/>
          <w:numId w:val="32"/>
        </w:numPr>
        <w:spacing w:after="0"/>
      </w:pPr>
      <w:r w:rsidRPr="00A106F0">
        <w:t>Major Questions Doctrine</w:t>
      </w:r>
    </w:p>
    <w:p w14:paraId="7BDF4C8C" w14:textId="77777777" w:rsidR="00A106F0" w:rsidRPr="00A106F0" w:rsidRDefault="00A106F0" w:rsidP="00A106F0">
      <w:pPr>
        <w:pStyle w:val="CHSglBody"/>
        <w:spacing w:after="0"/>
      </w:pPr>
    </w:p>
    <w:p w14:paraId="40888228" w14:textId="77777777" w:rsidR="00A106F0" w:rsidRPr="00A106F0" w:rsidRDefault="00A106F0" w:rsidP="00A106F0">
      <w:pPr>
        <w:pStyle w:val="CHSglBody"/>
        <w:spacing w:after="0"/>
        <w:rPr>
          <w:b/>
          <w:bCs/>
        </w:rPr>
      </w:pPr>
      <w:r w:rsidRPr="00A106F0">
        <w:rPr>
          <w:b/>
          <w:bCs/>
        </w:rPr>
        <w:t>VII. Anticipated Industry Impacts – 15 mins</w:t>
      </w:r>
    </w:p>
    <w:p w14:paraId="4FF61691" w14:textId="77777777" w:rsidR="00A106F0" w:rsidRPr="00A106F0" w:rsidRDefault="00A106F0" w:rsidP="00A106F0">
      <w:pPr>
        <w:pStyle w:val="CHSglBody"/>
        <w:numPr>
          <w:ilvl w:val="0"/>
          <w:numId w:val="33"/>
        </w:numPr>
        <w:spacing w:after="0"/>
      </w:pPr>
      <w:r w:rsidRPr="00A106F0">
        <w:t>Anticipate variety of challenges and potential changes to various final rules</w:t>
      </w:r>
    </w:p>
    <w:p w14:paraId="2ECC90F1" w14:textId="77777777" w:rsidR="00A106F0" w:rsidRPr="00A106F0" w:rsidRDefault="00A106F0" w:rsidP="00A106F0">
      <w:pPr>
        <w:pStyle w:val="CHSglBody"/>
        <w:numPr>
          <w:ilvl w:val="1"/>
          <w:numId w:val="33"/>
        </w:numPr>
        <w:spacing w:after="0"/>
      </w:pPr>
      <w:r w:rsidRPr="00A106F0">
        <w:t>E.g., overdraft fees, late fees, 1071 rule, medical debt credit reporting rule, BNPL/TILA rule; Repeat Offender Database</w:t>
      </w:r>
    </w:p>
    <w:p w14:paraId="78E14656" w14:textId="77777777" w:rsidR="00A106F0" w:rsidRPr="00A106F0" w:rsidRDefault="00A106F0" w:rsidP="00A106F0">
      <w:pPr>
        <w:pStyle w:val="CHSglBody"/>
        <w:numPr>
          <w:ilvl w:val="0"/>
          <w:numId w:val="33"/>
        </w:numPr>
        <w:spacing w:after="0"/>
      </w:pPr>
      <w:r w:rsidRPr="00A106F0">
        <w:t xml:space="preserve">States likely to legislate and enforce in areas perceived as lacking adequate oversight/regulation at the federal level </w:t>
      </w:r>
    </w:p>
    <w:p w14:paraId="75545ACF" w14:textId="77777777" w:rsidR="00A106F0" w:rsidRPr="00A106F0" w:rsidRDefault="00A106F0" w:rsidP="00A106F0">
      <w:pPr>
        <w:pStyle w:val="CHSglBody"/>
        <w:numPr>
          <w:ilvl w:val="1"/>
          <w:numId w:val="33"/>
        </w:numPr>
        <w:spacing w:after="0"/>
      </w:pPr>
      <w:r w:rsidRPr="00A106F0">
        <w:t>Medical debt collections</w:t>
      </w:r>
    </w:p>
    <w:p w14:paraId="402CA3EC" w14:textId="77777777" w:rsidR="00A106F0" w:rsidRDefault="00A106F0" w:rsidP="00A106F0">
      <w:pPr>
        <w:pStyle w:val="CHSglBody"/>
        <w:numPr>
          <w:ilvl w:val="1"/>
          <w:numId w:val="33"/>
        </w:numPr>
        <w:spacing w:after="0"/>
      </w:pPr>
      <w:r w:rsidRPr="00A106F0">
        <w:t>Student loan servicing and collections</w:t>
      </w:r>
    </w:p>
    <w:p w14:paraId="009FBC8F" w14:textId="730BE019" w:rsidR="00E061EF" w:rsidRDefault="00E061EF" w:rsidP="00A106F0">
      <w:pPr>
        <w:pStyle w:val="CHSglBody"/>
        <w:numPr>
          <w:ilvl w:val="1"/>
          <w:numId w:val="33"/>
        </w:numPr>
        <w:spacing w:after="0"/>
      </w:pPr>
      <w:r>
        <w:t>Small business collections (</w:t>
      </w:r>
      <w:r w:rsidR="00B13248" w:rsidRPr="00B13248">
        <w:rPr>
          <w:i/>
          <w:iCs/>
        </w:rPr>
        <w:t xml:space="preserve">See </w:t>
      </w:r>
      <w:r>
        <w:t xml:space="preserve">CA </w:t>
      </w:r>
      <w:r w:rsidR="007225BC">
        <w:t>SB1286 and otherwise)</w:t>
      </w:r>
    </w:p>
    <w:p w14:paraId="646D70F4" w14:textId="13D993AB" w:rsidR="00E80B7E" w:rsidRPr="00A106F0" w:rsidRDefault="00E80B7E" w:rsidP="00A106F0">
      <w:pPr>
        <w:pStyle w:val="CHSglBody"/>
        <w:numPr>
          <w:ilvl w:val="1"/>
          <w:numId w:val="33"/>
        </w:numPr>
        <w:spacing w:after="0"/>
      </w:pPr>
      <w:r>
        <w:t xml:space="preserve">AI use and disclosure in collections and traditional business </w:t>
      </w:r>
    </w:p>
    <w:p w14:paraId="0B995DCB" w14:textId="78B9931C" w:rsidR="00A106F0" w:rsidRPr="00A106F0" w:rsidRDefault="00A106F0" w:rsidP="00A106F0">
      <w:pPr>
        <w:pStyle w:val="CHSglBody"/>
        <w:numPr>
          <w:ilvl w:val="1"/>
          <w:numId w:val="33"/>
        </w:numPr>
        <w:spacing w:after="0"/>
      </w:pPr>
      <w:r w:rsidRPr="00A106F0">
        <w:t>Credit reporting limitations</w:t>
      </w:r>
      <w:r w:rsidR="00E80B7E">
        <w:t xml:space="preserve">, including data aggregation </w:t>
      </w:r>
      <w:r w:rsidRPr="00A106F0">
        <w:t xml:space="preserve"> </w:t>
      </w:r>
    </w:p>
    <w:p w14:paraId="15AFEC0C" w14:textId="77777777" w:rsidR="00A106F0" w:rsidRPr="00A106F0" w:rsidRDefault="00A106F0" w:rsidP="00A106F0">
      <w:pPr>
        <w:pStyle w:val="CHSglBody"/>
        <w:numPr>
          <w:ilvl w:val="1"/>
          <w:numId w:val="33"/>
        </w:numPr>
        <w:spacing w:after="0"/>
      </w:pPr>
      <w:r w:rsidRPr="00A106F0">
        <w:t>Coerced debt statutes</w:t>
      </w:r>
    </w:p>
    <w:p w14:paraId="18FF3DC9" w14:textId="77777777" w:rsidR="00A106F0" w:rsidRPr="00A106F0" w:rsidRDefault="00A106F0" w:rsidP="00A106F0">
      <w:pPr>
        <w:pStyle w:val="CHSglBody"/>
        <w:numPr>
          <w:ilvl w:val="1"/>
          <w:numId w:val="33"/>
        </w:numPr>
        <w:spacing w:after="0"/>
      </w:pPr>
      <w:r w:rsidRPr="00A106F0">
        <w:t>EWA statutes limiting collection activities</w:t>
      </w:r>
    </w:p>
    <w:p w14:paraId="12F20F0E" w14:textId="77777777" w:rsidR="00A106F0" w:rsidRPr="00A106F0" w:rsidRDefault="00A106F0" w:rsidP="00A106F0">
      <w:pPr>
        <w:pStyle w:val="CHSglBody"/>
        <w:numPr>
          <w:ilvl w:val="1"/>
          <w:numId w:val="33"/>
        </w:numPr>
        <w:spacing w:after="0"/>
      </w:pPr>
      <w:r w:rsidRPr="00A106F0">
        <w:t>Increase licensing and related monitoring</w:t>
      </w:r>
    </w:p>
    <w:p w14:paraId="6B38470D" w14:textId="77777777" w:rsidR="00A106F0" w:rsidRPr="00A106F0" w:rsidRDefault="00A106F0" w:rsidP="00A106F0">
      <w:pPr>
        <w:pStyle w:val="CHSglBody"/>
        <w:numPr>
          <w:ilvl w:val="0"/>
          <w:numId w:val="33"/>
        </w:numPr>
        <w:spacing w:after="0"/>
      </w:pPr>
      <w:r w:rsidRPr="00A106F0">
        <w:t xml:space="preserve">How adjust compliance and operations to ensure compliance across ever-shifting landscape of legal and regulatory requirements </w:t>
      </w:r>
    </w:p>
    <w:p w14:paraId="690ABC0D" w14:textId="77777777" w:rsidR="00A106F0" w:rsidRPr="00A106F0" w:rsidRDefault="00A106F0" w:rsidP="00A106F0">
      <w:pPr>
        <w:pStyle w:val="CHSglBody"/>
        <w:numPr>
          <w:ilvl w:val="0"/>
          <w:numId w:val="33"/>
        </w:numPr>
        <w:spacing w:after="0"/>
      </w:pPr>
      <w:r w:rsidRPr="00A106F0">
        <w:t xml:space="preserve">Discuss potential risk management strategies </w:t>
      </w:r>
    </w:p>
    <w:p w14:paraId="5BDD2227" w14:textId="77777777" w:rsidR="00A106F0" w:rsidRPr="00A106F0" w:rsidRDefault="00A106F0" w:rsidP="00A106F0">
      <w:pPr>
        <w:pStyle w:val="CHSglBody"/>
        <w:numPr>
          <w:ilvl w:val="0"/>
          <w:numId w:val="33"/>
        </w:numPr>
        <w:spacing w:after="0"/>
      </w:pPr>
      <w:r w:rsidRPr="00A106F0">
        <w:t>Importance of staying informed about regulatory changes</w:t>
      </w:r>
    </w:p>
    <w:p w14:paraId="4D740D6E" w14:textId="77777777" w:rsidR="00A106F0" w:rsidRPr="00A106F0" w:rsidRDefault="00A106F0" w:rsidP="00A106F0">
      <w:pPr>
        <w:pStyle w:val="CHSglBody"/>
        <w:spacing w:after="0"/>
      </w:pPr>
    </w:p>
    <w:p w14:paraId="783417F0" w14:textId="77777777" w:rsidR="00A106F0" w:rsidRPr="00A106F0" w:rsidRDefault="00A106F0" w:rsidP="00A106F0">
      <w:pPr>
        <w:pStyle w:val="CHSglBody"/>
        <w:spacing w:after="0"/>
        <w:rPr>
          <w:b/>
          <w:bCs/>
        </w:rPr>
      </w:pPr>
      <w:r w:rsidRPr="00A106F0">
        <w:rPr>
          <w:b/>
          <w:bCs/>
        </w:rPr>
        <w:t>IX. Conclusion – 10 mins</w:t>
      </w:r>
    </w:p>
    <w:p w14:paraId="0187505F" w14:textId="77777777" w:rsidR="00A106F0" w:rsidRPr="00A106F0" w:rsidRDefault="00A106F0" w:rsidP="00A106F0">
      <w:pPr>
        <w:pStyle w:val="CHSglBody"/>
        <w:numPr>
          <w:ilvl w:val="0"/>
          <w:numId w:val="34"/>
        </w:numPr>
        <w:spacing w:after="0"/>
      </w:pPr>
      <w:r w:rsidRPr="00A106F0">
        <w:rPr>
          <w:b/>
          <w:bCs/>
        </w:rPr>
        <w:t>Final Thoughts</w:t>
      </w:r>
    </w:p>
    <w:p w14:paraId="3F22FB7E" w14:textId="77777777" w:rsidR="00A106F0" w:rsidRPr="00A106F0" w:rsidRDefault="00A106F0" w:rsidP="00A106F0">
      <w:pPr>
        <w:pStyle w:val="CHSglBody"/>
        <w:numPr>
          <w:ilvl w:val="1"/>
          <w:numId w:val="34"/>
        </w:numPr>
        <w:spacing w:after="0"/>
      </w:pPr>
      <w:r w:rsidRPr="00A106F0">
        <w:t>The importance of adaptability and preparedness</w:t>
      </w:r>
    </w:p>
    <w:p w14:paraId="3C16E658" w14:textId="77777777" w:rsidR="00A106F0" w:rsidRPr="00A106F0" w:rsidRDefault="00A106F0" w:rsidP="00A106F0">
      <w:pPr>
        <w:pStyle w:val="CHSglBody"/>
        <w:numPr>
          <w:ilvl w:val="0"/>
          <w:numId w:val="34"/>
        </w:numPr>
        <w:spacing w:after="0"/>
      </w:pPr>
      <w:r w:rsidRPr="00A106F0">
        <w:rPr>
          <w:b/>
          <w:bCs/>
        </w:rPr>
        <w:t>Q&amp;A Session</w:t>
      </w:r>
    </w:p>
    <w:p w14:paraId="558F8D8B" w14:textId="77777777" w:rsidR="00A106F0" w:rsidRPr="00A106F0" w:rsidRDefault="00A106F0" w:rsidP="00A106F0">
      <w:pPr>
        <w:pStyle w:val="CHSglBody"/>
        <w:numPr>
          <w:ilvl w:val="1"/>
          <w:numId w:val="34"/>
        </w:numPr>
        <w:spacing w:after="0"/>
      </w:pPr>
      <w:r w:rsidRPr="00A106F0">
        <w:t>Open floor for questions and discussion</w:t>
      </w:r>
    </w:p>
    <w:p w14:paraId="22ED3AC4" w14:textId="77777777" w:rsidR="00EE3491" w:rsidRDefault="00EE3491">
      <w:pPr>
        <w:pStyle w:val="CHSglBody"/>
      </w:pPr>
    </w:p>
    <w:sectPr w:rsidR="00EE3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E26D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1EB1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A45E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280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785A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CED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853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04C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E8A8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AE5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30AD"/>
    <w:multiLevelType w:val="multilevel"/>
    <w:tmpl w:val="12A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515"/>
    <w:multiLevelType w:val="multilevel"/>
    <w:tmpl w:val="DCC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D81561"/>
    <w:multiLevelType w:val="multilevel"/>
    <w:tmpl w:val="A09C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681C79"/>
    <w:multiLevelType w:val="multilevel"/>
    <w:tmpl w:val="219A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8900D7"/>
    <w:multiLevelType w:val="multilevel"/>
    <w:tmpl w:val="E62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ED2F7B"/>
    <w:multiLevelType w:val="multilevel"/>
    <w:tmpl w:val="989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6507787">
    <w:abstractNumId w:val="11"/>
  </w:num>
  <w:num w:numId="2" w16cid:durableId="1853841445">
    <w:abstractNumId w:val="14"/>
  </w:num>
  <w:num w:numId="3" w16cid:durableId="1866552605">
    <w:abstractNumId w:val="11"/>
  </w:num>
  <w:num w:numId="4" w16cid:durableId="1461535201">
    <w:abstractNumId w:val="14"/>
  </w:num>
  <w:num w:numId="5" w16cid:durableId="1067915547">
    <w:abstractNumId w:val="11"/>
  </w:num>
  <w:num w:numId="6" w16cid:durableId="1177621647">
    <w:abstractNumId w:val="14"/>
  </w:num>
  <w:num w:numId="7" w16cid:durableId="128085955">
    <w:abstractNumId w:val="11"/>
  </w:num>
  <w:num w:numId="8" w16cid:durableId="1420565418">
    <w:abstractNumId w:val="14"/>
  </w:num>
  <w:num w:numId="9" w16cid:durableId="1899510627">
    <w:abstractNumId w:val="11"/>
  </w:num>
  <w:num w:numId="10" w16cid:durableId="1876654532">
    <w:abstractNumId w:val="14"/>
  </w:num>
  <w:num w:numId="11" w16cid:durableId="385687869">
    <w:abstractNumId w:val="11"/>
  </w:num>
  <w:num w:numId="12" w16cid:durableId="690036197">
    <w:abstractNumId w:val="14"/>
  </w:num>
  <w:num w:numId="13" w16cid:durableId="386684470">
    <w:abstractNumId w:val="11"/>
  </w:num>
  <w:num w:numId="14" w16cid:durableId="2050714905">
    <w:abstractNumId w:val="14"/>
  </w:num>
  <w:num w:numId="15" w16cid:durableId="1269853875">
    <w:abstractNumId w:val="11"/>
  </w:num>
  <w:num w:numId="16" w16cid:durableId="620764814">
    <w:abstractNumId w:val="14"/>
  </w:num>
  <w:num w:numId="17" w16cid:durableId="198978532">
    <w:abstractNumId w:val="11"/>
  </w:num>
  <w:num w:numId="18" w16cid:durableId="1231379573">
    <w:abstractNumId w:val="14"/>
  </w:num>
  <w:num w:numId="19" w16cid:durableId="287663604">
    <w:abstractNumId w:val="9"/>
  </w:num>
  <w:num w:numId="20" w16cid:durableId="569117026">
    <w:abstractNumId w:val="7"/>
  </w:num>
  <w:num w:numId="21" w16cid:durableId="1939016743">
    <w:abstractNumId w:val="6"/>
  </w:num>
  <w:num w:numId="22" w16cid:durableId="1126386871">
    <w:abstractNumId w:val="5"/>
  </w:num>
  <w:num w:numId="23" w16cid:durableId="161747665">
    <w:abstractNumId w:val="4"/>
  </w:num>
  <w:num w:numId="24" w16cid:durableId="916014552">
    <w:abstractNumId w:val="8"/>
  </w:num>
  <w:num w:numId="25" w16cid:durableId="2066030403">
    <w:abstractNumId w:val="3"/>
  </w:num>
  <w:num w:numId="26" w16cid:durableId="971399465">
    <w:abstractNumId w:val="2"/>
  </w:num>
  <w:num w:numId="27" w16cid:durableId="344984365">
    <w:abstractNumId w:val="1"/>
  </w:num>
  <w:num w:numId="28" w16cid:durableId="334310215">
    <w:abstractNumId w:val="0"/>
  </w:num>
  <w:num w:numId="29" w16cid:durableId="1518276879">
    <w:abstractNumId w:val="10"/>
  </w:num>
  <w:num w:numId="30" w16cid:durableId="1295671948">
    <w:abstractNumId w:val="17"/>
  </w:num>
  <w:num w:numId="31" w16cid:durableId="837621471">
    <w:abstractNumId w:val="16"/>
  </w:num>
  <w:num w:numId="32" w16cid:durableId="496195056">
    <w:abstractNumId w:val="15"/>
  </w:num>
  <w:num w:numId="33" w16cid:durableId="255985906">
    <w:abstractNumId w:val="13"/>
  </w:num>
  <w:num w:numId="34" w16cid:durableId="456870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0"/>
    <w:rsid w:val="0027791B"/>
    <w:rsid w:val="006706A5"/>
    <w:rsid w:val="007225BC"/>
    <w:rsid w:val="007C2C5C"/>
    <w:rsid w:val="008C68B4"/>
    <w:rsid w:val="009A2BDA"/>
    <w:rsid w:val="00A106F0"/>
    <w:rsid w:val="00B13248"/>
    <w:rsid w:val="00E061EF"/>
    <w:rsid w:val="00E80B7E"/>
    <w:rsid w:val="00EE3491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5C2F"/>
  <w15:docId w15:val="{782878CC-4D0D-4CDE-94BE-64C49E86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9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pPr>
      <w:jc w:val="both"/>
    </w:pPr>
  </w:style>
  <w:style w:type="paragraph" w:customStyle="1" w:styleId="CHDblIndBody">
    <w:name w:val="CH Dbl Ind Body"/>
    <w:basedOn w:val="Normal"/>
    <w:uiPriority w:val="5"/>
    <w:qFormat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pPr>
      <w:jc w:val="both"/>
    </w:pPr>
  </w:style>
  <w:style w:type="paragraph" w:customStyle="1" w:styleId="CHListNumber">
    <w:name w:val="CH List Number"/>
    <w:basedOn w:val="Normal"/>
    <w:uiPriority w:val="9"/>
    <w:qFormat/>
    <w:pPr>
      <w:numPr>
        <w:numId w:val="18"/>
      </w:numPr>
    </w:pPr>
  </w:style>
  <w:style w:type="paragraph" w:customStyle="1" w:styleId="CHQuote">
    <w:name w:val="CH Quote"/>
    <w:basedOn w:val="Normal"/>
    <w:uiPriority w:val="9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9A2BDA"/>
    <w:pPr>
      <w:spacing w:after="240"/>
    </w:pPr>
    <w:rPr>
      <w:rFonts w:ascii="Verdana" w:hAnsi="Verdana"/>
      <w:sz w:val="20"/>
    </w:rPr>
  </w:style>
  <w:style w:type="paragraph" w:customStyle="1" w:styleId="CHSglBodyJust">
    <w:name w:val="CH Sgl Body Just"/>
    <w:basedOn w:val="CHSglBody"/>
    <w:uiPriority w:val="4"/>
    <w:qFormat/>
    <w:pPr>
      <w:jc w:val="both"/>
    </w:pPr>
  </w:style>
  <w:style w:type="paragraph" w:customStyle="1" w:styleId="CHSglIndBody">
    <w:name w:val="CH Sgl Ind Body"/>
    <w:basedOn w:val="Normal"/>
    <w:uiPriority w:val="4"/>
    <w:qFormat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pPr>
      <w:jc w:val="both"/>
    </w:pPr>
  </w:style>
  <w:style w:type="paragraph" w:customStyle="1" w:styleId="CHSigblockLT">
    <w:name w:val="CH Sigblock LT"/>
    <w:basedOn w:val="Normal"/>
    <w:uiPriority w:val="9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pPr>
      <w:ind w:left="5040"/>
    </w:pPr>
  </w:style>
  <w:style w:type="paragraph" w:customStyle="1" w:styleId="CHSubTitleB">
    <w:name w:val="CH SubTitle B"/>
    <w:basedOn w:val="Normal"/>
    <w:uiPriority w:val="9"/>
    <w:qFormat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49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49"/>
    <w:rPr>
      <w:rFonts w:ascii="Times New Roman" w:hAnsi="Times New Roman" w:cs="Times New Roman"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4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9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spacing w:before="240" w:after="0"/>
      <w:outlineLvl w:val="9"/>
    </w:pPr>
    <w:rPr>
      <w:rFonts w:asciiTheme="majorHAnsi" w:hAnsiTheme="majorHAnsi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106F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B7CECA8CFF24E9E7EB89F4DC1ABAD" ma:contentTypeVersion="18" ma:contentTypeDescription="Create a new document." ma:contentTypeScope="" ma:versionID="51680317ccb33b7d3b0b1fd340c3c368">
  <xsd:schema xmlns:xsd="http://www.w3.org/2001/XMLSchema" xmlns:xs="http://www.w3.org/2001/XMLSchema" xmlns:p="http://schemas.microsoft.com/office/2006/metadata/properties" xmlns:ns2="62b159ee-bfdf-40b8-9c72-5642e5ae5a75" xmlns:ns3="f24a5fdc-c332-4b2e-8502-19183697fd2a" targetNamespace="http://schemas.microsoft.com/office/2006/metadata/properties" ma:root="true" ma:fieldsID="2e081d9dfe6ffd352cf90226a39729ef" ns2:_="" ns3:_="">
    <xsd:import namespace="62b159ee-bfdf-40b8-9c72-5642e5ae5a75"/>
    <xsd:import namespace="f24a5fdc-c332-4b2e-8502-19183697f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59ee-bfdf-40b8-9c72-5642e5ae5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3a7f2-0982-430c-9644-dd06a3d99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5fdc-c332-4b2e-8502-19183697f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da0628-44c7-448f-81d8-07784bb6cc34}" ma:internalName="TaxCatchAll" ma:showField="CatchAllData" ma:web="f24a5fdc-c332-4b2e-8502-19183697f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a5fdc-c332-4b2e-8502-19183697fd2a" xsi:nil="true"/>
    <lcf76f155ced4ddcb4097134ff3c332f xmlns="62b159ee-bfdf-40b8-9c72-5642e5ae5a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321BC-3780-4449-B0EB-A939DE2F33BA}"/>
</file>

<file path=customXml/itemProps2.xml><?xml version="1.0" encoding="utf-8"?>
<ds:datastoreItem xmlns:ds="http://schemas.openxmlformats.org/officeDocument/2006/customXml" ds:itemID="{7C32909F-5EB4-4395-B2AE-535DC2C9702C}"/>
</file>

<file path=customXml/itemProps3.xml><?xml version="1.0" encoding="utf-8"?>
<ds:datastoreItem xmlns:ds="http://schemas.openxmlformats.org/officeDocument/2006/customXml" ds:itemID="{E75CAE4E-3B4D-4E5F-B58F-410574588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Federico</dc:creator>
  <cp:lastModifiedBy>Dawn M. Federico, CGA</cp:lastModifiedBy>
  <cp:revision>2</cp:revision>
  <dcterms:created xsi:type="dcterms:W3CDTF">2025-02-07T18:19:00Z</dcterms:created>
  <dcterms:modified xsi:type="dcterms:W3CDTF">2025-02-07T18:19:00Z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0x01010092DB7CECA8CFF24E9E7EB89F4DC1ABAD</vt:lpwstr>
  </property>
</Properties>
</file>