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80DF" w14:textId="77777777" w:rsidR="0022309F" w:rsidRDefault="0073226F" w:rsidP="0073226F">
      <w:pPr>
        <w:jc w:val="center"/>
        <w:rPr>
          <w:b/>
          <w:bCs/>
        </w:rPr>
      </w:pPr>
      <w:r w:rsidRPr="0073226F">
        <w:rPr>
          <w:b/>
          <w:bCs/>
        </w:rPr>
        <w:t xml:space="preserve">Outline of Presentation: </w:t>
      </w:r>
    </w:p>
    <w:p w14:paraId="0A1559AB" w14:textId="77777777" w:rsidR="00DC600A" w:rsidRDefault="0022309F" w:rsidP="0073226F">
      <w:pPr>
        <w:jc w:val="center"/>
        <w:rPr>
          <w:b/>
          <w:bCs/>
        </w:rPr>
      </w:pPr>
      <w:r w:rsidRPr="0022309F">
        <w:rPr>
          <w:b/>
          <w:bCs/>
        </w:rPr>
        <w:t>Commercial Accounts Under Threat:  Navigating the California Rosenthal Act and Defending Against the Impending Surge of Lawsuits</w:t>
      </w:r>
    </w:p>
    <w:p w14:paraId="65B68F30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I. Introduction</w:t>
      </w:r>
    </w:p>
    <w:p w14:paraId="27A0047F" w14:textId="77777777" w:rsidR="0073226F" w:rsidRPr="0073226F" w:rsidRDefault="0073226F" w:rsidP="0073226F">
      <w:pPr>
        <w:numPr>
          <w:ilvl w:val="0"/>
          <w:numId w:val="2"/>
        </w:numPr>
      </w:pPr>
      <w:r w:rsidRPr="0073226F">
        <w:t>Overview of the Rosenthal Act</w:t>
      </w:r>
    </w:p>
    <w:p w14:paraId="40D950BB" w14:textId="77777777" w:rsidR="0073226F" w:rsidRPr="0073226F" w:rsidRDefault="0073226F" w:rsidP="0073226F">
      <w:pPr>
        <w:numPr>
          <w:ilvl w:val="0"/>
          <w:numId w:val="2"/>
        </w:numPr>
      </w:pPr>
      <w:r w:rsidRPr="0073226F">
        <w:t>Purpose and Scope of Presentation</w:t>
      </w:r>
    </w:p>
    <w:p w14:paraId="6BFAF28B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II. Agenda</w:t>
      </w:r>
    </w:p>
    <w:p w14:paraId="1537ABD2" w14:textId="77777777" w:rsidR="0073226F" w:rsidRPr="0073226F" w:rsidRDefault="0073226F" w:rsidP="0073226F">
      <w:pPr>
        <w:numPr>
          <w:ilvl w:val="0"/>
          <w:numId w:val="3"/>
        </w:numPr>
      </w:pPr>
      <w:r w:rsidRPr="0073226F">
        <w:t>Background</w:t>
      </w:r>
    </w:p>
    <w:p w14:paraId="13C74B5E" w14:textId="77777777" w:rsidR="0073226F" w:rsidRPr="0073226F" w:rsidRDefault="0073226F" w:rsidP="0073226F">
      <w:pPr>
        <w:numPr>
          <w:ilvl w:val="0"/>
          <w:numId w:val="3"/>
        </w:numPr>
      </w:pPr>
      <w:r w:rsidRPr="0073226F">
        <w:t>Impact on Commercial Debt</w:t>
      </w:r>
    </w:p>
    <w:p w14:paraId="5FA311D7" w14:textId="77777777" w:rsidR="0073226F" w:rsidRPr="0073226F" w:rsidRDefault="0073226F" w:rsidP="0073226F">
      <w:pPr>
        <w:numPr>
          <w:ilvl w:val="0"/>
          <w:numId w:val="3"/>
        </w:numPr>
      </w:pPr>
      <w:r w:rsidRPr="0073226F">
        <w:t>Protections &amp; Prohibitions</w:t>
      </w:r>
    </w:p>
    <w:p w14:paraId="0DF043E5" w14:textId="77777777" w:rsidR="0073226F" w:rsidRPr="0073226F" w:rsidRDefault="0073226F" w:rsidP="0073226F">
      <w:pPr>
        <w:numPr>
          <w:ilvl w:val="0"/>
          <w:numId w:val="3"/>
        </w:numPr>
      </w:pPr>
      <w:r w:rsidRPr="0073226F">
        <w:t>Compliance Risks</w:t>
      </w:r>
    </w:p>
    <w:p w14:paraId="5569530D" w14:textId="77777777" w:rsidR="0073226F" w:rsidRPr="0073226F" w:rsidRDefault="0073226F" w:rsidP="0073226F">
      <w:pPr>
        <w:numPr>
          <w:ilvl w:val="0"/>
          <w:numId w:val="3"/>
        </w:numPr>
      </w:pPr>
      <w:r w:rsidRPr="0073226F">
        <w:t>Operational Requirements</w:t>
      </w:r>
    </w:p>
    <w:p w14:paraId="44A3EFAA" w14:textId="77777777" w:rsidR="0073226F" w:rsidRPr="0073226F" w:rsidRDefault="00FC3895" w:rsidP="0073226F">
      <w:r>
        <w:pict w14:anchorId="7B9A63D3">
          <v:rect id="_x0000_i1025" style="width:0;height:1.5pt" o:hralign="center" o:hrstd="t" o:hr="t" fillcolor="#a0a0a0" stroked="f"/>
        </w:pict>
      </w:r>
    </w:p>
    <w:p w14:paraId="602E33B5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III. Background on S.B. 1286</w:t>
      </w:r>
    </w:p>
    <w:p w14:paraId="6782969F" w14:textId="77777777" w:rsidR="0073226F" w:rsidRPr="0073226F" w:rsidRDefault="0073226F" w:rsidP="0073226F">
      <w:pPr>
        <w:numPr>
          <w:ilvl w:val="0"/>
          <w:numId w:val="4"/>
        </w:numPr>
      </w:pPr>
      <w:r w:rsidRPr="0073226F">
        <w:rPr>
          <w:b/>
          <w:bCs/>
        </w:rPr>
        <w:t>Legislative Sponsor</w:t>
      </w:r>
      <w:r w:rsidRPr="0073226F">
        <w:t>: Dave Min (successor to Katie Porter)</w:t>
      </w:r>
    </w:p>
    <w:p w14:paraId="17D932DF" w14:textId="77777777" w:rsidR="0073226F" w:rsidRPr="0073226F" w:rsidRDefault="0073226F" w:rsidP="0073226F">
      <w:pPr>
        <w:numPr>
          <w:ilvl w:val="0"/>
          <w:numId w:val="4"/>
        </w:numPr>
      </w:pPr>
      <w:r w:rsidRPr="0073226F">
        <w:rPr>
          <w:b/>
          <w:bCs/>
        </w:rPr>
        <w:t>Author’s Statement</w:t>
      </w:r>
      <w:r w:rsidRPr="0073226F">
        <w:t xml:space="preserve">: </w:t>
      </w:r>
    </w:p>
    <w:p w14:paraId="02815814" w14:textId="77777777" w:rsidR="0073226F" w:rsidRPr="0073226F" w:rsidRDefault="0073226F" w:rsidP="0073226F">
      <w:pPr>
        <w:numPr>
          <w:ilvl w:val="1"/>
          <w:numId w:val="4"/>
        </w:numPr>
      </w:pPr>
      <w:r w:rsidRPr="0073226F">
        <w:t>Challenges in small business lending</w:t>
      </w:r>
    </w:p>
    <w:p w14:paraId="371C9A2F" w14:textId="77777777" w:rsidR="0073226F" w:rsidRPr="0073226F" w:rsidRDefault="0073226F" w:rsidP="0073226F">
      <w:pPr>
        <w:numPr>
          <w:ilvl w:val="1"/>
          <w:numId w:val="4"/>
        </w:numPr>
      </w:pPr>
      <w:r w:rsidRPr="0073226F">
        <w:t>Role of alternative lenders</w:t>
      </w:r>
    </w:p>
    <w:p w14:paraId="5F53C947" w14:textId="77777777" w:rsidR="0073226F" w:rsidRPr="0073226F" w:rsidRDefault="0073226F" w:rsidP="0073226F">
      <w:pPr>
        <w:numPr>
          <w:ilvl w:val="1"/>
          <w:numId w:val="4"/>
        </w:numPr>
      </w:pPr>
      <w:r w:rsidRPr="0073226F">
        <w:t>Increasing use of personal guarantees</w:t>
      </w:r>
    </w:p>
    <w:p w14:paraId="2C5D8F39" w14:textId="77777777" w:rsidR="0073226F" w:rsidRPr="0073226F" w:rsidRDefault="0073226F" w:rsidP="0073226F">
      <w:pPr>
        <w:numPr>
          <w:ilvl w:val="1"/>
          <w:numId w:val="4"/>
        </w:numPr>
      </w:pPr>
      <w:r w:rsidRPr="0073226F">
        <w:t>Need for dignified debt collection practices for small business owners</w:t>
      </w:r>
    </w:p>
    <w:p w14:paraId="1C4C3CCD" w14:textId="77777777" w:rsidR="0073226F" w:rsidRPr="0073226F" w:rsidRDefault="0073226F" w:rsidP="0073226F">
      <w:pPr>
        <w:numPr>
          <w:ilvl w:val="0"/>
          <w:numId w:val="4"/>
        </w:numPr>
      </w:pPr>
      <w:r w:rsidRPr="0073226F">
        <w:rPr>
          <w:b/>
          <w:bCs/>
        </w:rPr>
        <w:t>Critical Dates</w:t>
      </w:r>
      <w:r w:rsidRPr="0073226F">
        <w:t xml:space="preserve">: </w:t>
      </w:r>
    </w:p>
    <w:p w14:paraId="33C535B4" w14:textId="77777777" w:rsidR="0073226F" w:rsidRPr="0073226F" w:rsidRDefault="0073226F" w:rsidP="0073226F">
      <w:pPr>
        <w:numPr>
          <w:ilvl w:val="1"/>
          <w:numId w:val="4"/>
        </w:numPr>
      </w:pPr>
      <w:r w:rsidRPr="0073226F">
        <w:t>Effective date: July 1, 2025</w:t>
      </w:r>
    </w:p>
    <w:p w14:paraId="2FA9FAD5" w14:textId="77777777" w:rsidR="0073226F" w:rsidRPr="0073226F" w:rsidRDefault="00FC3895" w:rsidP="0073226F">
      <w:r>
        <w:pict w14:anchorId="6CF49E3F">
          <v:rect id="_x0000_i1026" style="width:0;height:1.5pt" o:hralign="center" o:hrstd="t" o:hr="t" fillcolor="#a0a0a0" stroked="f"/>
        </w:pict>
      </w:r>
    </w:p>
    <w:p w14:paraId="270878F3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IV. How S.B. 1286 Affects Commercial Debt</w:t>
      </w:r>
    </w:p>
    <w:p w14:paraId="0B14C544" w14:textId="77777777" w:rsidR="0073226F" w:rsidRPr="0073226F" w:rsidRDefault="0073226F" w:rsidP="0073226F">
      <w:pPr>
        <w:numPr>
          <w:ilvl w:val="0"/>
          <w:numId w:val="5"/>
        </w:numPr>
      </w:pPr>
      <w:r w:rsidRPr="0073226F">
        <w:rPr>
          <w:b/>
          <w:bCs/>
        </w:rPr>
        <w:t>Critical Definitions</w:t>
      </w:r>
      <w:r w:rsidRPr="0073226F">
        <w:t xml:space="preserve">: </w:t>
      </w:r>
    </w:p>
    <w:p w14:paraId="36E08404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rPr>
          <w:b/>
          <w:bCs/>
        </w:rPr>
        <w:t>Covered Commercial Debt &amp; Covered Commercial Credit</w:t>
      </w:r>
      <w:r w:rsidRPr="0073226F">
        <w:t xml:space="preserve">: </w:t>
      </w:r>
    </w:p>
    <w:p w14:paraId="5E355DC6" w14:textId="77777777" w:rsidR="0073226F" w:rsidRPr="0073226F" w:rsidRDefault="0073226F" w:rsidP="0073226F">
      <w:pPr>
        <w:numPr>
          <w:ilvl w:val="2"/>
          <w:numId w:val="5"/>
        </w:numPr>
      </w:pPr>
      <w:r w:rsidRPr="0073226F">
        <w:t>Debt owed by a natural person to a lender, commercial financing provider, or debt buyer</w:t>
      </w:r>
    </w:p>
    <w:p w14:paraId="405B6A58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rPr>
          <w:b/>
          <w:bCs/>
        </w:rPr>
        <w:t>Covered Commercial Credit Transaction</w:t>
      </w:r>
      <w:r w:rsidRPr="0073226F">
        <w:t xml:space="preserve">: </w:t>
      </w:r>
    </w:p>
    <w:p w14:paraId="0E0B7DA6" w14:textId="77777777" w:rsidR="0073226F" w:rsidRPr="0073226F" w:rsidRDefault="0073226F" w:rsidP="0073226F">
      <w:pPr>
        <w:numPr>
          <w:ilvl w:val="2"/>
          <w:numId w:val="5"/>
        </w:numPr>
      </w:pPr>
      <w:r w:rsidRPr="0073226F">
        <w:t>Value ≤ $500,000</w:t>
      </w:r>
    </w:p>
    <w:p w14:paraId="69E00E50" w14:textId="77777777" w:rsidR="0073226F" w:rsidRPr="0073226F" w:rsidRDefault="0073226F" w:rsidP="0073226F">
      <w:pPr>
        <w:numPr>
          <w:ilvl w:val="2"/>
          <w:numId w:val="5"/>
        </w:numPr>
      </w:pPr>
      <w:r w:rsidRPr="0073226F">
        <w:t>Acquired on credit for non-personal use</w:t>
      </w:r>
    </w:p>
    <w:p w14:paraId="5391F811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rPr>
          <w:b/>
          <w:bCs/>
        </w:rPr>
        <w:t>Inclusion of Personal Guarantors</w:t>
      </w:r>
      <w:r w:rsidRPr="0073226F">
        <w:t xml:space="preserve">: </w:t>
      </w:r>
    </w:p>
    <w:p w14:paraId="21E67853" w14:textId="77777777" w:rsidR="0073226F" w:rsidRPr="0073226F" w:rsidRDefault="0073226F" w:rsidP="0073226F">
      <w:pPr>
        <w:numPr>
          <w:ilvl w:val="2"/>
          <w:numId w:val="5"/>
        </w:numPr>
      </w:pPr>
      <w:r w:rsidRPr="0073226F">
        <w:t>Guarantors are now considered “debtors”</w:t>
      </w:r>
    </w:p>
    <w:p w14:paraId="21A2BAF5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rPr>
          <w:b/>
          <w:bCs/>
        </w:rPr>
        <w:t>Application to Debt Collectors</w:t>
      </w:r>
      <w:r w:rsidRPr="0073226F">
        <w:t xml:space="preserve">: </w:t>
      </w:r>
    </w:p>
    <w:p w14:paraId="7AEB0252" w14:textId="77777777" w:rsidR="0073226F" w:rsidRPr="0073226F" w:rsidRDefault="0073226F" w:rsidP="0073226F">
      <w:pPr>
        <w:numPr>
          <w:ilvl w:val="2"/>
          <w:numId w:val="5"/>
        </w:numPr>
      </w:pPr>
      <w:r w:rsidRPr="0073226F">
        <w:t>Extends consumer debt protections to covered commercial debts</w:t>
      </w:r>
    </w:p>
    <w:p w14:paraId="24C50245" w14:textId="77777777" w:rsidR="0073226F" w:rsidRPr="0073226F" w:rsidRDefault="0073226F" w:rsidP="0073226F">
      <w:pPr>
        <w:numPr>
          <w:ilvl w:val="0"/>
          <w:numId w:val="5"/>
        </w:numPr>
      </w:pPr>
      <w:r w:rsidRPr="0073226F">
        <w:rPr>
          <w:b/>
          <w:bCs/>
        </w:rPr>
        <w:t>Exemptions</w:t>
      </w:r>
      <w:r w:rsidRPr="0073226F">
        <w:t xml:space="preserve">: </w:t>
      </w:r>
    </w:p>
    <w:p w14:paraId="34F4DBEC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t>Transactions over $500,000</w:t>
      </w:r>
    </w:p>
    <w:p w14:paraId="30A5B1D2" w14:textId="77777777" w:rsidR="0073226F" w:rsidRPr="0073226F" w:rsidRDefault="0073226F" w:rsidP="0073226F">
      <w:pPr>
        <w:numPr>
          <w:ilvl w:val="1"/>
          <w:numId w:val="5"/>
        </w:numPr>
      </w:pPr>
      <w:r w:rsidRPr="0073226F">
        <w:t>Certain commercial financing providers under § 22800 of the Financial Code</w:t>
      </w:r>
    </w:p>
    <w:p w14:paraId="5FA38AE5" w14:textId="728EED51" w:rsidR="0073226F" w:rsidRPr="0073226F" w:rsidRDefault="0073226F" w:rsidP="0073226F">
      <w:pPr>
        <w:numPr>
          <w:ilvl w:val="1"/>
          <w:numId w:val="5"/>
        </w:numPr>
      </w:pPr>
      <w:r w:rsidRPr="0073226F">
        <w:t xml:space="preserve">No additional licensing </w:t>
      </w:r>
      <w:r>
        <w:t xml:space="preserve">required </w:t>
      </w:r>
      <w:r w:rsidRPr="0073226F">
        <w:t>under the Debt Collection Licensing Act</w:t>
      </w:r>
    </w:p>
    <w:p w14:paraId="20146995" w14:textId="77777777" w:rsidR="0073226F" w:rsidRPr="0073226F" w:rsidRDefault="00FC3895" w:rsidP="0073226F">
      <w:r>
        <w:pict w14:anchorId="7F67B5D1">
          <v:rect id="_x0000_i1027" style="width:0;height:1.5pt" o:hralign="center" o:hrstd="t" o:hr="t" fillcolor="#a0a0a0" stroked="f"/>
        </w:pict>
      </w:r>
    </w:p>
    <w:p w14:paraId="4A232C4E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V. Protections Under the Act</w:t>
      </w:r>
    </w:p>
    <w:p w14:paraId="4267887F" w14:textId="77777777" w:rsidR="0073226F" w:rsidRPr="0073226F" w:rsidRDefault="0073226F" w:rsidP="0073226F">
      <w:pPr>
        <w:numPr>
          <w:ilvl w:val="0"/>
          <w:numId w:val="6"/>
        </w:numPr>
      </w:pPr>
      <w:r w:rsidRPr="0073226F">
        <w:rPr>
          <w:b/>
          <w:bCs/>
        </w:rPr>
        <w:t>Required Actions ("Thou Shalt")</w:t>
      </w:r>
      <w:r w:rsidRPr="0073226F">
        <w:t xml:space="preserve">: </w:t>
      </w:r>
    </w:p>
    <w:p w14:paraId="18EC5A03" w14:textId="77777777" w:rsidR="0073226F" w:rsidRDefault="0073226F" w:rsidP="0073226F">
      <w:pPr>
        <w:numPr>
          <w:ilvl w:val="1"/>
          <w:numId w:val="6"/>
        </w:numPr>
      </w:pPr>
      <w:r w:rsidRPr="0073226F">
        <w:t>File suits in proper county (debtor’s residence or business location)</w:t>
      </w:r>
    </w:p>
    <w:p w14:paraId="752606C9" w14:textId="48DFF96F" w:rsidR="0073226F" w:rsidRPr="0073226F" w:rsidRDefault="0073226F" w:rsidP="0073226F">
      <w:pPr>
        <w:numPr>
          <w:ilvl w:val="2"/>
          <w:numId w:val="6"/>
        </w:numPr>
      </w:pPr>
      <w:r>
        <w:t>Impacts Venue Provisions</w:t>
      </w:r>
    </w:p>
    <w:p w14:paraId="3E45F1D1" w14:textId="77777777" w:rsidR="0073226F" w:rsidRPr="0073226F" w:rsidRDefault="0073226F" w:rsidP="0073226F">
      <w:pPr>
        <w:numPr>
          <w:ilvl w:val="1"/>
          <w:numId w:val="6"/>
        </w:numPr>
      </w:pPr>
      <w:r w:rsidRPr="0073226F">
        <w:t>Provide special notices for time-barred debts</w:t>
      </w:r>
    </w:p>
    <w:p w14:paraId="1C5AB8C4" w14:textId="77777777" w:rsidR="0073226F" w:rsidRPr="0073226F" w:rsidRDefault="0073226F" w:rsidP="0073226F">
      <w:pPr>
        <w:numPr>
          <w:ilvl w:val="1"/>
          <w:numId w:val="6"/>
        </w:numPr>
      </w:pPr>
      <w:r w:rsidRPr="0073226F">
        <w:t>Notify debtor upon assignment of delinquent debt</w:t>
      </w:r>
    </w:p>
    <w:p w14:paraId="5F6F08E0" w14:textId="77777777" w:rsidR="0073226F" w:rsidRDefault="0073226F" w:rsidP="0073226F">
      <w:pPr>
        <w:numPr>
          <w:ilvl w:val="1"/>
          <w:numId w:val="6"/>
        </w:numPr>
      </w:pPr>
      <w:r w:rsidRPr="0073226F">
        <w:t>Investigate and take corrective steps in identity theft cases</w:t>
      </w:r>
    </w:p>
    <w:p w14:paraId="2FCC5F54" w14:textId="05EE6867" w:rsidR="0073226F" w:rsidRPr="0073226F" w:rsidRDefault="0073226F" w:rsidP="0073226F">
      <w:pPr>
        <w:numPr>
          <w:ilvl w:val="2"/>
          <w:numId w:val="6"/>
        </w:numPr>
      </w:pPr>
      <w:r>
        <w:t>Not just natural persons</w:t>
      </w:r>
    </w:p>
    <w:p w14:paraId="41B452C4" w14:textId="77777777" w:rsidR="0073226F" w:rsidRPr="0073226F" w:rsidRDefault="00FC3895" w:rsidP="0073226F">
      <w:r>
        <w:pict w14:anchorId="48B71886">
          <v:rect id="_x0000_i1028" style="width:0;height:1.5pt" o:hralign="center" o:hrstd="t" o:hr="t" fillcolor="#a0a0a0" stroked="f"/>
        </w:pict>
      </w:r>
    </w:p>
    <w:p w14:paraId="13737AC4" w14:textId="77777777" w:rsidR="00E04DB1" w:rsidRDefault="00E04DB1" w:rsidP="0073226F">
      <w:pPr>
        <w:rPr>
          <w:b/>
          <w:bCs/>
        </w:rPr>
      </w:pPr>
    </w:p>
    <w:p w14:paraId="3DD7F76E" w14:textId="19169C36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VI. Prohibitions Under the Act</w:t>
      </w:r>
    </w:p>
    <w:p w14:paraId="213C02B7" w14:textId="77777777" w:rsidR="0073226F" w:rsidRPr="0073226F" w:rsidRDefault="0073226F" w:rsidP="0073226F">
      <w:pPr>
        <w:numPr>
          <w:ilvl w:val="0"/>
          <w:numId w:val="7"/>
        </w:numPr>
      </w:pPr>
      <w:r w:rsidRPr="0073226F">
        <w:rPr>
          <w:b/>
          <w:bCs/>
        </w:rPr>
        <w:t>General Conduct ("Thou Shalt Not")</w:t>
      </w:r>
      <w:r w:rsidRPr="0073226F">
        <w:t>:</w:t>
      </w:r>
    </w:p>
    <w:p w14:paraId="1640F276" w14:textId="493CD3F3" w:rsidR="0073226F" w:rsidRPr="0073226F" w:rsidRDefault="0073226F" w:rsidP="0073226F">
      <w:pPr>
        <w:numPr>
          <w:ilvl w:val="1"/>
          <w:numId w:val="7"/>
        </w:numPr>
      </w:pPr>
      <w:r>
        <w:t xml:space="preserve">NO </w:t>
      </w:r>
      <w:r w:rsidRPr="0073226F">
        <w:t>False threats, harassment, or misleading communications</w:t>
      </w:r>
    </w:p>
    <w:p w14:paraId="54A25363" w14:textId="008A454B" w:rsidR="0073226F" w:rsidRPr="0073226F" w:rsidRDefault="0073226F" w:rsidP="0073226F">
      <w:pPr>
        <w:numPr>
          <w:ilvl w:val="1"/>
          <w:numId w:val="7"/>
        </w:numPr>
      </w:pPr>
      <w:r>
        <w:t xml:space="preserve">NO </w:t>
      </w:r>
      <w:r w:rsidRPr="0073226F">
        <w:t>Call recording without disclosure (CA is a two-party consent state)</w:t>
      </w:r>
    </w:p>
    <w:p w14:paraId="7265D17B" w14:textId="10C4B61B" w:rsidR="0073226F" w:rsidRPr="0073226F" w:rsidRDefault="0073226F" w:rsidP="0073226F">
      <w:pPr>
        <w:numPr>
          <w:ilvl w:val="1"/>
          <w:numId w:val="7"/>
        </w:numPr>
      </w:pPr>
      <w:r>
        <w:t xml:space="preserve">NO </w:t>
      </w:r>
      <w:r w:rsidRPr="0073226F">
        <w:t>Communicat</w:t>
      </w:r>
      <w:r>
        <w:t>ion</w:t>
      </w:r>
      <w:r w:rsidRPr="0073226F">
        <w:t xml:space="preserve"> with represented debtors</w:t>
      </w:r>
    </w:p>
    <w:p w14:paraId="472257B1" w14:textId="50423E3A" w:rsidR="0073226F" w:rsidRPr="0073226F" w:rsidRDefault="0073226F" w:rsidP="0073226F">
      <w:pPr>
        <w:numPr>
          <w:ilvl w:val="1"/>
          <w:numId w:val="7"/>
        </w:numPr>
      </w:pPr>
      <w:r>
        <w:t xml:space="preserve">NO Calling </w:t>
      </w:r>
      <w:r w:rsidRPr="0073226F">
        <w:t>Unreasonable frequency of communication</w:t>
      </w:r>
    </w:p>
    <w:p w14:paraId="0B8AEC75" w14:textId="37B0739C" w:rsidR="0073226F" w:rsidRPr="0073226F" w:rsidRDefault="0073226F" w:rsidP="0073226F">
      <w:pPr>
        <w:numPr>
          <w:ilvl w:val="1"/>
          <w:numId w:val="7"/>
        </w:numPr>
      </w:pPr>
      <w:r>
        <w:t xml:space="preserve">NO </w:t>
      </w:r>
      <w:r w:rsidRPr="0073226F">
        <w:t>Abusing the legal process</w:t>
      </w:r>
    </w:p>
    <w:p w14:paraId="6B9DFF18" w14:textId="77777777" w:rsidR="0073226F" w:rsidRPr="0073226F" w:rsidRDefault="0073226F" w:rsidP="0073226F">
      <w:pPr>
        <w:numPr>
          <w:ilvl w:val="0"/>
          <w:numId w:val="7"/>
        </w:numPr>
      </w:pPr>
      <w:r w:rsidRPr="0073226F">
        <w:rPr>
          <w:b/>
          <w:bCs/>
        </w:rPr>
        <w:t>Specific Prohibited Actions</w:t>
      </w:r>
      <w:r w:rsidRPr="0073226F">
        <w:t>:</w:t>
      </w:r>
    </w:p>
    <w:p w14:paraId="27503D92" w14:textId="77777777" w:rsidR="0073226F" w:rsidRPr="0073226F" w:rsidRDefault="0073226F" w:rsidP="0073226F">
      <w:pPr>
        <w:numPr>
          <w:ilvl w:val="1"/>
          <w:numId w:val="7"/>
        </w:numPr>
      </w:pPr>
      <w:r w:rsidRPr="0073226F">
        <w:rPr>
          <w:b/>
          <w:bCs/>
        </w:rPr>
        <w:t>False Threats</w:t>
      </w:r>
      <w:r w:rsidRPr="0073226F">
        <w:t xml:space="preserve">: </w:t>
      </w:r>
    </w:p>
    <w:p w14:paraId="4C56DBA3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Threats of violence, false accusations, or legal action not actually intended</w:t>
      </w:r>
    </w:p>
    <w:p w14:paraId="3B34CEA3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False claims about debt-related consequences (e.g., arrest, wage garnishment)</w:t>
      </w:r>
    </w:p>
    <w:p w14:paraId="73E8158F" w14:textId="77777777" w:rsidR="0073226F" w:rsidRPr="0073226F" w:rsidRDefault="0073226F" w:rsidP="0073226F">
      <w:pPr>
        <w:numPr>
          <w:ilvl w:val="1"/>
          <w:numId w:val="7"/>
        </w:numPr>
      </w:pPr>
      <w:r w:rsidRPr="0073226F">
        <w:rPr>
          <w:b/>
          <w:bCs/>
        </w:rPr>
        <w:t>Harassment</w:t>
      </w:r>
      <w:r w:rsidRPr="0073226F">
        <w:t xml:space="preserve">: </w:t>
      </w:r>
    </w:p>
    <w:p w14:paraId="299000B1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Obscene language, excessive phone calls, or undisclosed caller identity</w:t>
      </w:r>
    </w:p>
    <w:p w14:paraId="147755F4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Using misleading aliases</w:t>
      </w:r>
    </w:p>
    <w:p w14:paraId="41292857" w14:textId="77777777" w:rsidR="0073226F" w:rsidRPr="0073226F" w:rsidRDefault="0073226F" w:rsidP="0073226F">
      <w:pPr>
        <w:numPr>
          <w:ilvl w:val="1"/>
          <w:numId w:val="7"/>
        </w:numPr>
      </w:pPr>
      <w:r w:rsidRPr="0073226F">
        <w:rPr>
          <w:b/>
          <w:bCs/>
        </w:rPr>
        <w:t>Shaming Debtors</w:t>
      </w:r>
      <w:r w:rsidRPr="0073226F">
        <w:t xml:space="preserve">: </w:t>
      </w:r>
    </w:p>
    <w:p w14:paraId="62FD5C02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Publicizing debtor lists ("deadbeat lists") or embarrassing communications</w:t>
      </w:r>
    </w:p>
    <w:p w14:paraId="2CBFA0BB" w14:textId="77777777" w:rsidR="0073226F" w:rsidRPr="0073226F" w:rsidRDefault="0073226F" w:rsidP="0073226F">
      <w:pPr>
        <w:numPr>
          <w:ilvl w:val="1"/>
          <w:numId w:val="7"/>
        </w:numPr>
      </w:pPr>
      <w:r w:rsidRPr="0073226F">
        <w:rPr>
          <w:b/>
          <w:bCs/>
        </w:rPr>
        <w:t>Misleading Practices</w:t>
      </w:r>
      <w:r w:rsidRPr="0073226F">
        <w:t xml:space="preserve">: </w:t>
      </w:r>
    </w:p>
    <w:p w14:paraId="4E85DDE8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False claims of attorney/government affiliation</w:t>
      </w:r>
    </w:p>
    <w:p w14:paraId="009EDB10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Misrepresenting debt collection fees, legal proceedings, or credit reporting</w:t>
      </w:r>
    </w:p>
    <w:p w14:paraId="694696C1" w14:textId="77777777" w:rsidR="0073226F" w:rsidRPr="0073226F" w:rsidRDefault="0073226F" w:rsidP="0073226F">
      <w:pPr>
        <w:numPr>
          <w:ilvl w:val="1"/>
          <w:numId w:val="7"/>
        </w:numPr>
      </w:pPr>
      <w:r w:rsidRPr="0073226F">
        <w:rPr>
          <w:b/>
          <w:bCs/>
        </w:rPr>
        <w:t>Abuse of Process</w:t>
      </w:r>
      <w:r w:rsidRPr="0073226F">
        <w:t xml:space="preserve">: </w:t>
      </w:r>
    </w:p>
    <w:p w14:paraId="54124ED1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Improper venue selection for lawsuits</w:t>
      </w:r>
    </w:p>
    <w:p w14:paraId="5D669206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Filing suits without proper service of process</w:t>
      </w:r>
    </w:p>
    <w:p w14:paraId="42FCD1D0" w14:textId="77777777" w:rsidR="0073226F" w:rsidRPr="0073226F" w:rsidRDefault="0073226F" w:rsidP="0073226F">
      <w:pPr>
        <w:numPr>
          <w:ilvl w:val="2"/>
          <w:numId w:val="7"/>
        </w:numPr>
      </w:pPr>
      <w:r w:rsidRPr="0073226F">
        <w:t>Simulating judicial processes</w:t>
      </w:r>
    </w:p>
    <w:p w14:paraId="7809E609" w14:textId="77777777" w:rsidR="0073226F" w:rsidRPr="0073226F" w:rsidRDefault="00FC3895" w:rsidP="0073226F">
      <w:r>
        <w:pict w14:anchorId="3334A16D">
          <v:rect id="_x0000_i1029" style="width:0;height:1.5pt" o:hralign="center" o:hrstd="t" o:hr="t" fillcolor="#a0a0a0" stroked="f"/>
        </w:pict>
      </w:r>
    </w:p>
    <w:p w14:paraId="74C82192" w14:textId="77777777" w:rsidR="0073226F" w:rsidRDefault="0073226F" w:rsidP="0073226F">
      <w:pPr>
        <w:rPr>
          <w:b/>
          <w:bCs/>
        </w:rPr>
      </w:pPr>
      <w:r w:rsidRPr="0073226F">
        <w:rPr>
          <w:b/>
          <w:bCs/>
        </w:rPr>
        <w:t xml:space="preserve">VII. </w:t>
      </w:r>
      <w:r>
        <w:rPr>
          <w:b/>
          <w:bCs/>
        </w:rPr>
        <w:t>Danger</w:t>
      </w:r>
    </w:p>
    <w:p w14:paraId="2ECAE06E" w14:textId="72745AB1" w:rsidR="0073226F" w:rsidRDefault="0073226F" w:rsidP="0073226F">
      <w:pPr>
        <w:pStyle w:val="ListParagraph"/>
        <w:numPr>
          <w:ilvl w:val="0"/>
          <w:numId w:val="11"/>
        </w:numPr>
        <w:rPr>
          <w:b/>
          <w:bCs/>
        </w:rPr>
      </w:pPr>
      <w:r w:rsidRPr="0073226F">
        <w:rPr>
          <w:b/>
          <w:bCs/>
        </w:rPr>
        <w:t>Potential Liability for Violations</w:t>
      </w:r>
    </w:p>
    <w:p w14:paraId="31396427" w14:textId="0143C910" w:rsidR="0073226F" w:rsidRPr="0073226F" w:rsidRDefault="0073226F" w:rsidP="0073226F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California Historically has an Expansive Interpretation</w:t>
      </w:r>
    </w:p>
    <w:p w14:paraId="3810AADC" w14:textId="77777777" w:rsidR="0073226F" w:rsidRPr="0073226F" w:rsidRDefault="0073226F" w:rsidP="0073226F">
      <w:pPr>
        <w:numPr>
          <w:ilvl w:val="0"/>
          <w:numId w:val="8"/>
        </w:numPr>
        <w:tabs>
          <w:tab w:val="num" w:pos="720"/>
        </w:tabs>
      </w:pPr>
      <w:r w:rsidRPr="0073226F">
        <w:rPr>
          <w:b/>
          <w:bCs/>
        </w:rPr>
        <w:t>Tourgeman v. Collins Financial Servs., Inc. (9th Cir. 2014)</w:t>
      </w:r>
      <w:r w:rsidRPr="0073226F">
        <w:t xml:space="preserve">: </w:t>
      </w:r>
    </w:p>
    <w:p w14:paraId="72779E06" w14:textId="77777777" w:rsidR="0073226F" w:rsidRPr="0073226F" w:rsidRDefault="0073226F" w:rsidP="0073226F">
      <w:pPr>
        <w:numPr>
          <w:ilvl w:val="1"/>
          <w:numId w:val="8"/>
        </w:numPr>
        <w:tabs>
          <w:tab w:val="num" w:pos="1440"/>
        </w:tabs>
      </w:pPr>
      <w:r w:rsidRPr="0073226F">
        <w:t>Misidentification of original creditor in collection letters</w:t>
      </w:r>
    </w:p>
    <w:p w14:paraId="71F63FCB" w14:textId="77777777" w:rsidR="0073226F" w:rsidRPr="0073226F" w:rsidRDefault="0073226F" w:rsidP="0073226F">
      <w:pPr>
        <w:numPr>
          <w:ilvl w:val="0"/>
          <w:numId w:val="8"/>
        </w:numPr>
        <w:tabs>
          <w:tab w:val="num" w:pos="720"/>
        </w:tabs>
      </w:pPr>
      <w:r w:rsidRPr="0073226F">
        <w:rPr>
          <w:b/>
          <w:bCs/>
        </w:rPr>
        <w:t>Slenk v. Transworld Systems, Inc. (9th Cir. 2001)</w:t>
      </w:r>
      <w:r w:rsidRPr="0073226F">
        <w:t xml:space="preserve">: </w:t>
      </w:r>
    </w:p>
    <w:p w14:paraId="0EFA3314" w14:textId="77777777" w:rsidR="0073226F" w:rsidRDefault="0073226F" w:rsidP="0073226F">
      <w:pPr>
        <w:numPr>
          <w:ilvl w:val="1"/>
          <w:numId w:val="8"/>
        </w:numPr>
      </w:pPr>
      <w:r w:rsidRPr="0073226F">
        <w:t>Commercial debt reclassified as consumer debt based on personal use</w:t>
      </w:r>
    </w:p>
    <w:p w14:paraId="2DD0CF98" w14:textId="1BC4CE6A" w:rsidR="0073226F" w:rsidRPr="0073226F" w:rsidRDefault="0073226F" w:rsidP="0073226F">
      <w:pPr>
        <w:numPr>
          <w:ilvl w:val="0"/>
          <w:numId w:val="8"/>
        </w:numPr>
        <w:rPr>
          <w:b/>
          <w:bCs/>
        </w:rPr>
      </w:pPr>
      <w:r w:rsidRPr="0073226F">
        <w:rPr>
          <w:b/>
          <w:bCs/>
        </w:rPr>
        <w:t xml:space="preserve">Giotta v. Ocwen Loan Servicing, LLC, 706 F. </w:t>
      </w:r>
      <w:proofErr w:type="spellStart"/>
      <w:r w:rsidRPr="0073226F">
        <w:rPr>
          <w:b/>
          <w:bCs/>
        </w:rPr>
        <w:t>App'x</w:t>
      </w:r>
      <w:proofErr w:type="spellEnd"/>
      <w:r w:rsidRPr="0073226F">
        <w:rPr>
          <w:b/>
          <w:bCs/>
        </w:rPr>
        <w:t xml:space="preserve"> 421, 422 (9th Cir. 2017)</w:t>
      </w:r>
      <w:r>
        <w:t xml:space="preserve"> </w:t>
      </w:r>
    </w:p>
    <w:p w14:paraId="02F47EAF" w14:textId="7397571E" w:rsidR="0073226F" w:rsidRPr="0073226F" w:rsidRDefault="0073226F" w:rsidP="0073226F">
      <w:pPr>
        <w:numPr>
          <w:ilvl w:val="1"/>
          <w:numId w:val="8"/>
        </w:numPr>
        <w:rPr>
          <w:b/>
          <w:bCs/>
        </w:rPr>
      </w:pPr>
      <w:r>
        <w:t>Loan Servicer is an assignee of under a mortgage loan agreement</w:t>
      </w:r>
    </w:p>
    <w:p w14:paraId="2F864222" w14:textId="77777777" w:rsidR="0073226F" w:rsidRPr="0073226F" w:rsidRDefault="00FC3895" w:rsidP="0073226F">
      <w:r>
        <w:pict w14:anchorId="052196C9">
          <v:rect id="_x0000_i1030" style="width:0;height:1.5pt" o:hralign="center" o:hrstd="t" o:hr="t" fillcolor="#a0a0a0" stroked="f"/>
        </w:pict>
      </w:r>
    </w:p>
    <w:p w14:paraId="4CA3F136" w14:textId="77777777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VIII. Compliance and Operational Requirements</w:t>
      </w:r>
    </w:p>
    <w:p w14:paraId="48697CCF" w14:textId="77777777" w:rsidR="0073226F" w:rsidRPr="0073226F" w:rsidRDefault="0073226F" w:rsidP="0073226F">
      <w:pPr>
        <w:numPr>
          <w:ilvl w:val="0"/>
          <w:numId w:val="9"/>
        </w:numPr>
      </w:pPr>
      <w:r w:rsidRPr="0073226F">
        <w:t>Ensuring adherence to new legal requirements</w:t>
      </w:r>
    </w:p>
    <w:p w14:paraId="11E5E306" w14:textId="77777777" w:rsidR="0073226F" w:rsidRPr="0073226F" w:rsidRDefault="0073226F" w:rsidP="0073226F">
      <w:pPr>
        <w:numPr>
          <w:ilvl w:val="0"/>
          <w:numId w:val="9"/>
        </w:numPr>
      </w:pPr>
      <w:r w:rsidRPr="0073226F">
        <w:t>Risk mitigation strategies for debt collectors</w:t>
      </w:r>
    </w:p>
    <w:p w14:paraId="3B431E25" w14:textId="77777777" w:rsidR="0073226F" w:rsidRDefault="0073226F" w:rsidP="0073226F">
      <w:pPr>
        <w:numPr>
          <w:ilvl w:val="0"/>
          <w:numId w:val="9"/>
        </w:numPr>
      </w:pPr>
      <w:r w:rsidRPr="0073226F">
        <w:t>Maintaining transparency in communication and collection practices</w:t>
      </w:r>
    </w:p>
    <w:p w14:paraId="28987D83" w14:textId="239B1E61" w:rsidR="0073226F" w:rsidRDefault="0073226F" w:rsidP="0073226F">
      <w:pPr>
        <w:numPr>
          <w:ilvl w:val="0"/>
          <w:numId w:val="9"/>
        </w:numPr>
      </w:pPr>
      <w:r>
        <w:t xml:space="preserve">Training – the Pull from Commercial only to Consumer Protections </w:t>
      </w:r>
    </w:p>
    <w:p w14:paraId="685DED5C" w14:textId="77777777" w:rsidR="0073226F" w:rsidRDefault="0073226F" w:rsidP="0073226F">
      <w:pPr>
        <w:numPr>
          <w:ilvl w:val="1"/>
          <w:numId w:val="9"/>
        </w:numPr>
      </w:pPr>
      <w:r>
        <w:t xml:space="preserve">Consequences of non-compliance for an agency. </w:t>
      </w:r>
    </w:p>
    <w:p w14:paraId="7667D655" w14:textId="77777777" w:rsidR="0073226F" w:rsidRDefault="0073226F" w:rsidP="0073226F">
      <w:pPr>
        <w:numPr>
          <w:ilvl w:val="1"/>
          <w:numId w:val="9"/>
        </w:numPr>
      </w:pPr>
      <w:r>
        <w:t>The phone number you are calling is important.</w:t>
      </w:r>
    </w:p>
    <w:p w14:paraId="08967B03" w14:textId="77777777" w:rsidR="0073226F" w:rsidRDefault="0073226F" w:rsidP="0073226F">
      <w:pPr>
        <w:numPr>
          <w:ilvl w:val="1"/>
          <w:numId w:val="9"/>
        </w:numPr>
      </w:pPr>
      <w:r>
        <w:t>What the agency’s role is with the clients.</w:t>
      </w:r>
    </w:p>
    <w:p w14:paraId="5ADCF88A" w14:textId="26383033" w:rsidR="0073226F" w:rsidRPr="0073226F" w:rsidRDefault="0073226F" w:rsidP="0073226F">
      <w:pPr>
        <w:numPr>
          <w:ilvl w:val="1"/>
          <w:numId w:val="9"/>
        </w:numPr>
      </w:pPr>
      <w:r>
        <w:t>Agency sales reps working with agency collectors.</w:t>
      </w:r>
    </w:p>
    <w:p w14:paraId="18E8376D" w14:textId="77777777" w:rsidR="0073226F" w:rsidRPr="0073226F" w:rsidRDefault="00FC3895" w:rsidP="0073226F">
      <w:r>
        <w:pict w14:anchorId="74A25BBB">
          <v:rect id="_x0000_i1031" style="width:0;height:1.5pt" o:hralign="center" o:hrstd="t" o:hr="t" fillcolor="#a0a0a0" stroked="f"/>
        </w:pict>
      </w:r>
    </w:p>
    <w:p w14:paraId="41D62F99" w14:textId="77777777" w:rsidR="0073226F" w:rsidRDefault="0073226F" w:rsidP="0073226F">
      <w:pPr>
        <w:rPr>
          <w:b/>
          <w:bCs/>
        </w:rPr>
      </w:pPr>
    </w:p>
    <w:p w14:paraId="1FA31D1A" w14:textId="68A5F5DE" w:rsidR="0073226F" w:rsidRPr="0073226F" w:rsidRDefault="0073226F" w:rsidP="0073226F">
      <w:pPr>
        <w:rPr>
          <w:b/>
          <w:bCs/>
        </w:rPr>
      </w:pPr>
      <w:r w:rsidRPr="0073226F">
        <w:rPr>
          <w:b/>
          <w:bCs/>
        </w:rPr>
        <w:t>IX. Conclusion &amp; Questions</w:t>
      </w:r>
    </w:p>
    <w:p w14:paraId="4FA03361" w14:textId="77777777" w:rsidR="0073226F" w:rsidRPr="0073226F" w:rsidRDefault="0073226F" w:rsidP="0073226F">
      <w:pPr>
        <w:numPr>
          <w:ilvl w:val="0"/>
          <w:numId w:val="10"/>
        </w:numPr>
      </w:pPr>
      <w:r w:rsidRPr="0073226F">
        <w:t>Recap of key takeaways</w:t>
      </w:r>
    </w:p>
    <w:p w14:paraId="4FDFEE46" w14:textId="77777777" w:rsidR="0073226F" w:rsidRPr="0073226F" w:rsidRDefault="0073226F" w:rsidP="0073226F">
      <w:pPr>
        <w:numPr>
          <w:ilvl w:val="0"/>
          <w:numId w:val="10"/>
        </w:numPr>
      </w:pPr>
      <w:r w:rsidRPr="0073226F">
        <w:t>Open floor for questions</w:t>
      </w:r>
    </w:p>
    <w:p w14:paraId="5CC4CBB2" w14:textId="77777777" w:rsidR="0073226F" w:rsidRPr="0073226F" w:rsidRDefault="0073226F" w:rsidP="0073226F">
      <w:pPr>
        <w:numPr>
          <w:ilvl w:val="0"/>
          <w:numId w:val="10"/>
        </w:numPr>
      </w:pPr>
      <w:r w:rsidRPr="0073226F">
        <w:t xml:space="preserve">Contact Information: </w:t>
      </w:r>
    </w:p>
    <w:p w14:paraId="6B99F958" w14:textId="77777777" w:rsidR="0073226F" w:rsidRDefault="0073226F" w:rsidP="0073226F">
      <w:pPr>
        <w:numPr>
          <w:ilvl w:val="1"/>
          <w:numId w:val="10"/>
        </w:numPr>
      </w:pPr>
      <w:r w:rsidRPr="0073226F">
        <w:t xml:space="preserve">Regina M. Slowey – </w:t>
      </w:r>
      <w:hyperlink r:id="rId5" w:history="1">
        <w:r w:rsidRPr="0073226F">
          <w:rPr>
            <w:rStyle w:val="Hyperlink"/>
            <w:i/>
            <w:iCs/>
          </w:rPr>
          <w:t>rslowey@bn-lawyers.com</w:t>
        </w:r>
      </w:hyperlink>
    </w:p>
    <w:p w14:paraId="2F1FCB8E" w14:textId="5A17498F" w:rsidR="0073226F" w:rsidRPr="00E04DB1" w:rsidRDefault="0073226F" w:rsidP="0073226F">
      <w:pPr>
        <w:numPr>
          <w:ilvl w:val="1"/>
          <w:numId w:val="10"/>
        </w:numPr>
        <w:rPr>
          <w:i/>
          <w:iCs/>
        </w:rPr>
      </w:pPr>
      <w:r>
        <w:t xml:space="preserve">Tim Grimes - </w:t>
      </w:r>
      <w:hyperlink r:id="rId6" w:history="1">
        <w:r w:rsidRPr="00E04DB1">
          <w:rPr>
            <w:rStyle w:val="Hyperlink"/>
            <w:i/>
            <w:iCs/>
          </w:rPr>
          <w:t>tgrimes@barrcredit.com</w:t>
        </w:r>
      </w:hyperlink>
    </w:p>
    <w:p w14:paraId="183E7F12" w14:textId="0E0E3DFE" w:rsidR="0073226F" w:rsidRDefault="0073226F" w:rsidP="0073226F">
      <w:pPr>
        <w:numPr>
          <w:ilvl w:val="1"/>
          <w:numId w:val="10"/>
        </w:numPr>
        <w:rPr>
          <w:i/>
          <w:iCs/>
        </w:rPr>
      </w:pPr>
      <w:r w:rsidRPr="0073226F">
        <w:t xml:space="preserve">Lorna </w:t>
      </w:r>
      <w:proofErr w:type="gramStart"/>
      <w:r w:rsidRPr="0073226F">
        <w:t xml:space="preserve">Walker </w:t>
      </w:r>
      <w:r>
        <w:t xml:space="preserve"> -</w:t>
      </w:r>
      <w:proofErr w:type="gramEnd"/>
      <w:r>
        <w:t xml:space="preserve"> </w:t>
      </w:r>
      <w:hyperlink r:id="rId7" w:history="1">
        <w:r w:rsidR="00E04DB1" w:rsidRPr="00241482">
          <w:rPr>
            <w:rStyle w:val="Hyperlink"/>
            <w:i/>
            <w:iCs/>
          </w:rPr>
          <w:t>lorna.walker@sweetwalker.com</w:t>
        </w:r>
      </w:hyperlink>
    </w:p>
    <w:p w14:paraId="265220B7" w14:textId="77777777" w:rsidR="00E04DB1" w:rsidRPr="0073226F" w:rsidRDefault="00E04DB1" w:rsidP="00E04DB1">
      <w:pPr>
        <w:ind w:left="1440"/>
        <w:rPr>
          <w:i/>
          <w:iCs/>
        </w:rPr>
      </w:pPr>
    </w:p>
    <w:p w14:paraId="2308CCB6" w14:textId="77777777" w:rsidR="009041E8" w:rsidRDefault="009041E8"/>
    <w:sectPr w:rsidR="009041E8" w:rsidSect="00DC600A">
      <w:pgSz w:w="12240" w:h="15840"/>
      <w:pgMar w:top="117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8D6"/>
    <w:multiLevelType w:val="multilevel"/>
    <w:tmpl w:val="AF0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624E"/>
    <w:multiLevelType w:val="multilevel"/>
    <w:tmpl w:val="0E9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B1207"/>
    <w:multiLevelType w:val="multilevel"/>
    <w:tmpl w:val="B45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6235E"/>
    <w:multiLevelType w:val="hybridMultilevel"/>
    <w:tmpl w:val="EA88E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E7CE7"/>
    <w:multiLevelType w:val="multilevel"/>
    <w:tmpl w:val="03F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7BF8"/>
    <w:multiLevelType w:val="multilevel"/>
    <w:tmpl w:val="4D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D595A"/>
    <w:multiLevelType w:val="multilevel"/>
    <w:tmpl w:val="1130A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06A58"/>
    <w:multiLevelType w:val="multilevel"/>
    <w:tmpl w:val="030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83647"/>
    <w:multiLevelType w:val="multilevel"/>
    <w:tmpl w:val="EB78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B6FE2"/>
    <w:multiLevelType w:val="multilevel"/>
    <w:tmpl w:val="0BF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96B8C"/>
    <w:multiLevelType w:val="hybridMultilevel"/>
    <w:tmpl w:val="60CE49CE"/>
    <w:lvl w:ilvl="0" w:tplc="FA22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34748">
    <w:abstractNumId w:val="10"/>
  </w:num>
  <w:num w:numId="2" w16cid:durableId="1878856239">
    <w:abstractNumId w:val="8"/>
  </w:num>
  <w:num w:numId="3" w16cid:durableId="1288047599">
    <w:abstractNumId w:val="5"/>
  </w:num>
  <w:num w:numId="4" w16cid:durableId="42221052">
    <w:abstractNumId w:val="0"/>
  </w:num>
  <w:num w:numId="5" w16cid:durableId="945693196">
    <w:abstractNumId w:val="4"/>
  </w:num>
  <w:num w:numId="6" w16cid:durableId="2056420349">
    <w:abstractNumId w:val="7"/>
  </w:num>
  <w:num w:numId="7" w16cid:durableId="1504321893">
    <w:abstractNumId w:val="9"/>
  </w:num>
  <w:num w:numId="8" w16cid:durableId="2124883350">
    <w:abstractNumId w:val="6"/>
  </w:num>
  <w:num w:numId="9" w16cid:durableId="987126019">
    <w:abstractNumId w:val="2"/>
  </w:num>
  <w:num w:numId="10" w16cid:durableId="1827628116">
    <w:abstractNumId w:val="1"/>
  </w:num>
  <w:num w:numId="11" w16cid:durableId="1221790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6F"/>
    <w:rsid w:val="000870B6"/>
    <w:rsid w:val="00194B83"/>
    <w:rsid w:val="00204A9E"/>
    <w:rsid w:val="0022309F"/>
    <w:rsid w:val="00520BAD"/>
    <w:rsid w:val="00651005"/>
    <w:rsid w:val="00694071"/>
    <w:rsid w:val="0073226F"/>
    <w:rsid w:val="007E3CE6"/>
    <w:rsid w:val="00871C2A"/>
    <w:rsid w:val="009041E8"/>
    <w:rsid w:val="00DC600A"/>
    <w:rsid w:val="00E04DB1"/>
    <w:rsid w:val="00E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0579D49"/>
  <w15:chartTrackingRefBased/>
  <w15:docId w15:val="{395E9492-7AC6-49DA-B705-F62CBC0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AD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2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2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2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2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2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2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2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26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26F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26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26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26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26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32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26F"/>
    <w:rPr>
      <w:rFonts w:ascii="Cambria" w:hAnsi="Cambr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32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26F"/>
    <w:rPr>
      <w:rFonts w:ascii="Cambria" w:hAnsi="Cambr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322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2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na.walker@sweetwalker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rimes@barrcredit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slowey@bn-lawyers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B7CECA8CFF24E9E7EB89F4DC1ABAD" ma:contentTypeVersion="18" ma:contentTypeDescription="Create a new document." ma:contentTypeScope="" ma:versionID="51680317ccb33b7d3b0b1fd340c3c368">
  <xsd:schema xmlns:xsd="http://www.w3.org/2001/XMLSchema" xmlns:xs="http://www.w3.org/2001/XMLSchema" xmlns:p="http://schemas.microsoft.com/office/2006/metadata/properties" xmlns:ns2="62b159ee-bfdf-40b8-9c72-5642e5ae5a75" xmlns:ns3="f24a5fdc-c332-4b2e-8502-19183697fd2a" targetNamespace="http://schemas.microsoft.com/office/2006/metadata/properties" ma:root="true" ma:fieldsID="2e081d9dfe6ffd352cf90226a39729ef" ns2:_="" ns3:_="">
    <xsd:import namespace="62b159ee-bfdf-40b8-9c72-5642e5ae5a75"/>
    <xsd:import namespace="f24a5fdc-c332-4b2e-8502-19183697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9ee-bfdf-40b8-9c72-5642e5ae5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63a7f2-0982-430c-9644-dd06a3d99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fdc-c332-4b2e-8502-19183697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da0628-44c7-448f-81d8-07784bb6cc34}" ma:internalName="TaxCatchAll" ma:showField="CatchAllData" ma:web="f24a5fdc-c332-4b2e-8502-19183697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fdc-c332-4b2e-8502-19183697fd2a" xsi:nil="true"/>
    <lcf76f155ced4ddcb4097134ff3c332f xmlns="62b159ee-bfdf-40b8-9c72-5642e5ae5a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7D513-C276-4360-999B-336A866DD132}"/>
</file>

<file path=customXml/itemProps2.xml><?xml version="1.0" encoding="utf-8"?>
<ds:datastoreItem xmlns:ds="http://schemas.openxmlformats.org/officeDocument/2006/customXml" ds:itemID="{1D5C63C4-1271-498C-8ED4-CA258BAA8B9B}"/>
</file>

<file path=customXml/itemProps3.xml><?xml version="1.0" encoding="utf-8"?>
<ds:datastoreItem xmlns:ds="http://schemas.openxmlformats.org/officeDocument/2006/customXml" ds:itemID="{F9498511-2979-45B5-90A9-D5D8C5C42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Slowey</dc:creator>
  <cp:keywords/>
  <dc:description/>
  <cp:lastModifiedBy>Dawn M. Federico, CGA</cp:lastModifiedBy>
  <cp:revision>2</cp:revision>
  <dcterms:created xsi:type="dcterms:W3CDTF">2025-02-09T20:58:00Z</dcterms:created>
  <dcterms:modified xsi:type="dcterms:W3CDTF">2025-02-09T20:58:00Z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tartEditDateTime">
    <vt:lpwstr>2025-02-07T09:17:15</vt:lpwstr>
  </property>
  <property fmtid="{D5CDD505-2E9C-101B-9397-08002B2CF9AE}" pid="3" name="CBWordSessionId">
    <vt:lpwstr>7c40bd99-5e69-4406-9659-66acc4c5ee9e</vt:lpwstr>
  </property>
  <property fmtid="{D5CDD505-2E9C-101B-9397-08002B2CF9AE}" pid="4" name="ContentTypeId">
    <vt:lpwstr>0x01010092DB7CECA8CFF24E9E7EB89F4DC1ABAD</vt:lpwstr>
  </property>
</Properties>
</file>